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517D6" w14:textId="77777777" w:rsidR="005D24EA" w:rsidRPr="005D24EA" w:rsidRDefault="005D24EA" w:rsidP="005D24EA">
      <w:pPr>
        <w:tabs>
          <w:tab w:val="left" w:pos="1677"/>
        </w:tabs>
        <w:spacing w:before="120" w:after="120" w:line="276" w:lineRule="auto"/>
        <w:rPr>
          <w:rFonts w:asciiTheme="minorHAnsi" w:hAnsiTheme="minorHAnsi" w:cstheme="minorHAnsi"/>
          <w:b/>
          <w:color w:val="000000"/>
        </w:rPr>
      </w:pPr>
      <w:r w:rsidRPr="005D24EA">
        <w:rPr>
          <w:rFonts w:asciiTheme="minorHAnsi" w:hAnsiTheme="minorHAnsi" w:cstheme="minorHAnsi"/>
          <w:b/>
          <w:color w:val="000000"/>
        </w:rPr>
        <w:tab/>
      </w:r>
      <w:bookmarkStart w:id="0" w:name="_Hlk56257803"/>
    </w:p>
    <w:p w14:paraId="71401979" w14:textId="77777777" w:rsidR="005D24EA" w:rsidRPr="005D24EA" w:rsidRDefault="005D24EA" w:rsidP="005D24EA">
      <w:pPr>
        <w:spacing w:before="120" w:after="120" w:line="276" w:lineRule="auto"/>
        <w:rPr>
          <w:rFonts w:asciiTheme="minorHAnsi" w:hAnsiTheme="minorHAnsi" w:cstheme="minorHAnsi"/>
          <w:b/>
          <w:color w:val="000000"/>
        </w:rPr>
      </w:pPr>
    </w:p>
    <w:p w14:paraId="62F81F3A" w14:textId="77777777" w:rsidR="005D24EA" w:rsidRPr="009B2C34" w:rsidRDefault="005D24EA" w:rsidP="005D24EA">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75FDF6AE" w14:textId="77777777" w:rsidR="005D24EA" w:rsidRPr="005D24EA" w:rsidRDefault="005D24EA" w:rsidP="005D24EA">
      <w:pPr>
        <w:spacing w:before="120" w:after="120" w:line="276" w:lineRule="auto"/>
        <w:rPr>
          <w:rFonts w:asciiTheme="minorHAnsi" w:hAnsiTheme="minorHAnsi" w:cstheme="minorHAnsi"/>
          <w:b/>
          <w:color w:val="000000"/>
        </w:rPr>
      </w:pPr>
    </w:p>
    <w:p w14:paraId="2AED6A72" w14:textId="77777777" w:rsidR="005D24EA" w:rsidRPr="005D24EA" w:rsidRDefault="005D24EA" w:rsidP="005D24EA">
      <w:pPr>
        <w:spacing w:before="120" w:after="120" w:line="276" w:lineRule="auto"/>
        <w:rPr>
          <w:rFonts w:asciiTheme="minorHAnsi" w:hAnsiTheme="minorHAnsi" w:cstheme="minorHAnsi"/>
          <w:b/>
          <w:color w:val="000000"/>
        </w:rPr>
      </w:pPr>
    </w:p>
    <w:p w14:paraId="71196D5B" w14:textId="77777777" w:rsidR="005D24EA" w:rsidRPr="005D24EA" w:rsidRDefault="005D24EA" w:rsidP="005D24EA">
      <w:pPr>
        <w:spacing w:before="120" w:after="120" w:line="276" w:lineRule="auto"/>
        <w:rPr>
          <w:rFonts w:asciiTheme="minorHAnsi" w:hAnsiTheme="minorHAnsi" w:cstheme="minorHAnsi"/>
          <w:b/>
          <w:color w:val="000000"/>
        </w:rPr>
      </w:pPr>
    </w:p>
    <w:p w14:paraId="77852302" w14:textId="77777777" w:rsidR="005D24EA" w:rsidRPr="005D24EA" w:rsidRDefault="005D24EA" w:rsidP="005D24EA">
      <w:pPr>
        <w:spacing w:before="120" w:after="120" w:line="276" w:lineRule="auto"/>
        <w:rPr>
          <w:rFonts w:asciiTheme="minorHAnsi" w:hAnsiTheme="minorHAnsi" w:cstheme="minorHAnsi"/>
          <w:b/>
          <w:color w:val="000000"/>
        </w:rPr>
      </w:pPr>
    </w:p>
    <w:p w14:paraId="499CF3BE" w14:textId="77777777" w:rsidR="005D24EA" w:rsidRPr="005D24EA" w:rsidRDefault="005D24EA" w:rsidP="005D24EA">
      <w:pPr>
        <w:spacing w:before="120" w:after="120" w:line="276" w:lineRule="auto"/>
        <w:rPr>
          <w:rFonts w:asciiTheme="minorHAnsi" w:hAnsiTheme="minorHAnsi" w:cstheme="minorHAnsi"/>
          <w:b/>
          <w:color w:val="000000"/>
        </w:rPr>
      </w:pPr>
    </w:p>
    <w:p w14:paraId="253FAF25" w14:textId="77777777" w:rsidR="005D24EA" w:rsidRPr="005D24EA" w:rsidRDefault="005D24EA" w:rsidP="005D24EA">
      <w:pPr>
        <w:suppressAutoHyphens/>
        <w:spacing w:before="120" w:after="120" w:line="276" w:lineRule="auto"/>
        <w:jc w:val="center"/>
        <w:rPr>
          <w:rFonts w:asciiTheme="minorHAnsi" w:hAnsiTheme="minorHAnsi" w:cstheme="minorHAnsi"/>
          <w:b/>
          <w:sz w:val="24"/>
          <w:szCs w:val="24"/>
        </w:rPr>
      </w:pPr>
      <w:r w:rsidRPr="005D24EA">
        <w:rPr>
          <w:rFonts w:asciiTheme="minorHAnsi" w:hAnsiTheme="minorHAnsi" w:cstheme="minorHAnsi"/>
          <w:b/>
          <w:sz w:val="24"/>
          <w:szCs w:val="24"/>
        </w:rPr>
        <w:t>SZCZEGÓŁOWA SPECYFIKACJA TECHNICZNA</w:t>
      </w:r>
    </w:p>
    <w:p w14:paraId="172EE03B" w14:textId="77777777" w:rsidR="005D24EA" w:rsidRPr="005D24EA" w:rsidRDefault="005D24EA" w:rsidP="005D24EA">
      <w:pPr>
        <w:spacing w:before="120" w:after="120" w:line="276" w:lineRule="auto"/>
        <w:rPr>
          <w:rFonts w:asciiTheme="minorHAnsi" w:hAnsiTheme="minorHAnsi" w:cstheme="minorHAnsi"/>
          <w:b/>
        </w:rPr>
      </w:pPr>
    </w:p>
    <w:p w14:paraId="7C5CFD57" w14:textId="77777777" w:rsidR="005D24EA" w:rsidRPr="005D24EA" w:rsidRDefault="005D24EA" w:rsidP="005D24EA">
      <w:pPr>
        <w:spacing w:before="120" w:after="120" w:line="276" w:lineRule="auto"/>
        <w:rPr>
          <w:rFonts w:asciiTheme="minorHAnsi" w:hAnsiTheme="minorHAnsi" w:cstheme="minorHAnsi"/>
          <w:b/>
        </w:rPr>
      </w:pPr>
    </w:p>
    <w:p w14:paraId="166FDE81" w14:textId="77777777" w:rsidR="005D24EA" w:rsidRPr="005D24EA" w:rsidRDefault="005D24EA" w:rsidP="005D24EA">
      <w:pPr>
        <w:suppressAutoHyphens/>
        <w:spacing w:before="120" w:after="120" w:line="276" w:lineRule="auto"/>
        <w:rPr>
          <w:rFonts w:asciiTheme="minorHAnsi" w:hAnsiTheme="minorHAnsi" w:cstheme="minorHAnsi"/>
          <w:b/>
        </w:rPr>
      </w:pPr>
    </w:p>
    <w:p w14:paraId="5CB7C3EB" w14:textId="77777777" w:rsidR="005D24EA" w:rsidRPr="005D24EA" w:rsidRDefault="005D24EA" w:rsidP="005D24EA">
      <w:pPr>
        <w:suppressAutoHyphens/>
        <w:spacing w:before="120" w:after="120" w:line="276" w:lineRule="auto"/>
        <w:rPr>
          <w:rFonts w:asciiTheme="minorHAnsi" w:hAnsiTheme="minorHAnsi" w:cstheme="minorHAnsi"/>
          <w:b/>
        </w:rPr>
      </w:pPr>
    </w:p>
    <w:p w14:paraId="10E3EC09" w14:textId="77777777" w:rsidR="005D24EA" w:rsidRPr="005D24EA" w:rsidRDefault="005D24EA" w:rsidP="005D24EA">
      <w:pPr>
        <w:suppressAutoHyphens/>
        <w:spacing w:before="120" w:after="120" w:line="276" w:lineRule="auto"/>
        <w:rPr>
          <w:rFonts w:asciiTheme="minorHAnsi" w:hAnsiTheme="minorHAnsi" w:cstheme="minorHAnsi"/>
          <w:b/>
        </w:rPr>
      </w:pPr>
    </w:p>
    <w:p w14:paraId="12E2CAB2" w14:textId="77777777" w:rsidR="005D24EA" w:rsidRPr="005D24EA" w:rsidRDefault="005D24EA" w:rsidP="005D24EA">
      <w:pPr>
        <w:suppressAutoHyphens/>
        <w:spacing w:before="120" w:line="276" w:lineRule="auto"/>
        <w:jc w:val="center"/>
        <w:rPr>
          <w:rFonts w:asciiTheme="minorHAnsi" w:hAnsiTheme="minorHAnsi" w:cstheme="minorHAnsi"/>
          <w:b/>
        </w:rPr>
      </w:pPr>
      <w:r w:rsidRPr="005D24EA">
        <w:rPr>
          <w:rFonts w:asciiTheme="minorHAnsi" w:hAnsiTheme="minorHAnsi" w:cstheme="minorHAnsi"/>
          <w:b/>
        </w:rPr>
        <w:t>D-08.03.01a</w:t>
      </w:r>
    </w:p>
    <w:p w14:paraId="2186D5B3" w14:textId="77777777" w:rsidR="005D24EA" w:rsidRPr="005D24EA" w:rsidRDefault="005D24EA" w:rsidP="005D24EA">
      <w:pPr>
        <w:suppressAutoHyphens/>
        <w:spacing w:after="120" w:line="276" w:lineRule="auto"/>
        <w:jc w:val="center"/>
        <w:rPr>
          <w:rFonts w:asciiTheme="minorHAnsi" w:hAnsiTheme="minorHAnsi" w:cstheme="minorHAnsi"/>
        </w:rPr>
      </w:pPr>
      <w:r w:rsidRPr="005D24EA">
        <w:rPr>
          <w:rFonts w:asciiTheme="minorHAnsi" w:hAnsiTheme="minorHAnsi" w:cstheme="minorHAnsi"/>
        </w:rPr>
        <w:t>v.1</w:t>
      </w:r>
    </w:p>
    <w:p w14:paraId="4CC0EEFF" w14:textId="77777777" w:rsidR="005D24EA" w:rsidRPr="005D24EA" w:rsidRDefault="005D24EA" w:rsidP="005D24EA">
      <w:pPr>
        <w:spacing w:before="120" w:after="120" w:line="276" w:lineRule="auto"/>
        <w:rPr>
          <w:rFonts w:asciiTheme="minorHAnsi" w:hAnsiTheme="minorHAnsi" w:cstheme="minorHAnsi"/>
          <w:b/>
        </w:rPr>
      </w:pPr>
    </w:p>
    <w:p w14:paraId="209D849B" w14:textId="77777777" w:rsidR="005D24EA" w:rsidRPr="005D24EA" w:rsidRDefault="005D24EA" w:rsidP="005D24EA">
      <w:pPr>
        <w:spacing w:before="120" w:after="120" w:line="276" w:lineRule="auto"/>
        <w:jc w:val="center"/>
        <w:rPr>
          <w:rFonts w:asciiTheme="minorHAnsi" w:hAnsiTheme="minorHAnsi" w:cstheme="minorHAnsi"/>
          <w:b/>
        </w:rPr>
      </w:pPr>
      <w:r w:rsidRPr="005D24EA">
        <w:rPr>
          <w:rFonts w:asciiTheme="minorHAnsi" w:hAnsiTheme="minorHAnsi" w:cstheme="minorHAnsi"/>
          <w:b/>
        </w:rPr>
        <w:t>BETONOWE OBRZEŻA CHODNIKOWE</w:t>
      </w:r>
    </w:p>
    <w:p w14:paraId="55F4EB39" w14:textId="77777777" w:rsidR="005D24EA" w:rsidRPr="005D24EA" w:rsidRDefault="005D24EA" w:rsidP="005D24EA">
      <w:pPr>
        <w:spacing w:before="120" w:after="120" w:line="276" w:lineRule="auto"/>
        <w:rPr>
          <w:rFonts w:asciiTheme="minorHAnsi" w:hAnsiTheme="minorHAnsi" w:cstheme="minorHAnsi"/>
          <w:b/>
        </w:rPr>
      </w:pPr>
    </w:p>
    <w:p w14:paraId="2FF0DD66" w14:textId="77777777" w:rsidR="005D24EA" w:rsidRPr="005D24EA" w:rsidRDefault="005D24EA" w:rsidP="005D24EA">
      <w:pPr>
        <w:tabs>
          <w:tab w:val="left" w:pos="2172"/>
          <w:tab w:val="center" w:pos="4818"/>
        </w:tabs>
        <w:spacing w:before="120" w:after="120" w:line="276" w:lineRule="auto"/>
        <w:rPr>
          <w:rFonts w:asciiTheme="minorHAnsi" w:hAnsiTheme="minorHAnsi" w:cstheme="minorHAnsi"/>
          <w:sz w:val="22"/>
          <w:szCs w:val="22"/>
        </w:rPr>
      </w:pPr>
      <w:r w:rsidRPr="005D24EA">
        <w:rPr>
          <w:rFonts w:asciiTheme="minorHAnsi" w:hAnsiTheme="minorHAnsi" w:cstheme="minorHAnsi"/>
          <w:b/>
          <w:sz w:val="22"/>
          <w:szCs w:val="22"/>
        </w:rPr>
        <w:tab/>
      </w:r>
      <w:r w:rsidRPr="005D24EA">
        <w:rPr>
          <w:rFonts w:asciiTheme="minorHAnsi" w:hAnsiTheme="minorHAnsi" w:cstheme="minorHAnsi"/>
          <w:sz w:val="22"/>
          <w:szCs w:val="22"/>
        </w:rPr>
        <w:t xml:space="preserve">                   </w:t>
      </w:r>
      <w:r w:rsidRPr="005D24EA">
        <w:rPr>
          <w:rFonts w:asciiTheme="minorHAnsi" w:hAnsiTheme="minorHAnsi" w:cstheme="minorHAnsi"/>
          <w:sz w:val="22"/>
          <w:szCs w:val="22"/>
        </w:rPr>
        <w:tab/>
      </w:r>
    </w:p>
    <w:p w14:paraId="466A56EA" w14:textId="77777777" w:rsidR="005D24EA" w:rsidRPr="005D24EA" w:rsidRDefault="005D24EA" w:rsidP="005D24EA">
      <w:pPr>
        <w:spacing w:before="120" w:after="120" w:line="276" w:lineRule="auto"/>
        <w:rPr>
          <w:rFonts w:asciiTheme="minorHAnsi" w:hAnsiTheme="minorHAnsi" w:cstheme="minorHAnsi"/>
          <w:sz w:val="22"/>
          <w:szCs w:val="22"/>
        </w:rPr>
      </w:pPr>
    </w:p>
    <w:p w14:paraId="78952612" w14:textId="77777777" w:rsidR="005D24EA" w:rsidRPr="005D24EA" w:rsidRDefault="005D24EA" w:rsidP="005D24EA">
      <w:pPr>
        <w:spacing w:before="120" w:after="120" w:line="276" w:lineRule="auto"/>
        <w:rPr>
          <w:rFonts w:asciiTheme="minorHAnsi" w:hAnsiTheme="minorHAnsi" w:cstheme="minorHAnsi"/>
          <w:sz w:val="22"/>
          <w:szCs w:val="22"/>
        </w:rPr>
      </w:pPr>
    </w:p>
    <w:p w14:paraId="0CE2834B" w14:textId="77777777" w:rsidR="005D24EA" w:rsidRPr="005D24EA" w:rsidRDefault="005D24EA" w:rsidP="005D24EA">
      <w:pPr>
        <w:spacing w:before="120" w:after="120" w:line="276" w:lineRule="auto"/>
        <w:rPr>
          <w:rFonts w:asciiTheme="minorHAnsi" w:hAnsiTheme="minorHAnsi" w:cstheme="minorHAnsi"/>
          <w:sz w:val="22"/>
          <w:szCs w:val="22"/>
        </w:rPr>
      </w:pPr>
    </w:p>
    <w:p w14:paraId="68D3865F" w14:textId="77777777" w:rsidR="005D24EA" w:rsidRPr="005D24EA" w:rsidRDefault="005D24EA" w:rsidP="005D24EA">
      <w:pPr>
        <w:spacing w:before="120" w:after="120" w:line="276" w:lineRule="auto"/>
        <w:rPr>
          <w:rFonts w:asciiTheme="minorHAnsi" w:hAnsiTheme="minorHAnsi" w:cstheme="minorHAnsi"/>
          <w:sz w:val="22"/>
          <w:szCs w:val="22"/>
        </w:rPr>
      </w:pPr>
    </w:p>
    <w:p w14:paraId="15D6D836" w14:textId="77777777" w:rsidR="005D24EA" w:rsidRPr="005D24EA" w:rsidRDefault="005D24EA" w:rsidP="005D24EA">
      <w:pPr>
        <w:spacing w:before="120" w:after="120" w:line="276" w:lineRule="auto"/>
        <w:rPr>
          <w:rFonts w:asciiTheme="minorHAnsi" w:hAnsiTheme="minorHAnsi" w:cstheme="minorHAnsi"/>
          <w:sz w:val="22"/>
          <w:szCs w:val="22"/>
        </w:rPr>
      </w:pPr>
    </w:p>
    <w:p w14:paraId="6E314018" w14:textId="77777777" w:rsidR="005D24EA" w:rsidRPr="005D24EA" w:rsidRDefault="005D24EA" w:rsidP="005D24EA">
      <w:pPr>
        <w:tabs>
          <w:tab w:val="left" w:pos="7092"/>
        </w:tabs>
        <w:spacing w:before="120" w:after="120" w:line="276" w:lineRule="auto"/>
        <w:rPr>
          <w:rFonts w:asciiTheme="minorHAnsi" w:hAnsiTheme="minorHAnsi" w:cstheme="minorHAnsi"/>
          <w:sz w:val="22"/>
          <w:szCs w:val="22"/>
        </w:rPr>
      </w:pPr>
    </w:p>
    <w:p w14:paraId="7274C690" w14:textId="77777777" w:rsidR="005D24EA" w:rsidRPr="005D24EA" w:rsidRDefault="005D24EA" w:rsidP="005D24EA">
      <w:pPr>
        <w:tabs>
          <w:tab w:val="left" w:pos="7092"/>
        </w:tabs>
        <w:spacing w:before="120" w:after="120" w:line="276" w:lineRule="auto"/>
        <w:rPr>
          <w:rFonts w:asciiTheme="minorHAnsi" w:hAnsiTheme="minorHAnsi" w:cstheme="minorHAnsi"/>
          <w:sz w:val="22"/>
          <w:szCs w:val="22"/>
        </w:rPr>
      </w:pPr>
    </w:p>
    <w:p w14:paraId="04F2673F" w14:textId="77777777" w:rsidR="005D24EA" w:rsidRPr="005D24EA" w:rsidRDefault="005D24EA" w:rsidP="005D24EA">
      <w:pPr>
        <w:tabs>
          <w:tab w:val="left" w:pos="7092"/>
        </w:tabs>
        <w:spacing w:before="120" w:after="120" w:line="276" w:lineRule="auto"/>
        <w:rPr>
          <w:rFonts w:asciiTheme="minorHAnsi" w:hAnsiTheme="minorHAnsi" w:cstheme="minorHAnsi"/>
          <w:sz w:val="22"/>
          <w:szCs w:val="22"/>
        </w:rPr>
      </w:pPr>
    </w:p>
    <w:p w14:paraId="626F82C6" w14:textId="77777777" w:rsidR="005D24EA" w:rsidRPr="005D24EA" w:rsidRDefault="005D24EA" w:rsidP="005D24EA">
      <w:pPr>
        <w:tabs>
          <w:tab w:val="left" w:pos="7092"/>
        </w:tabs>
        <w:spacing w:before="120" w:after="120" w:line="276" w:lineRule="auto"/>
        <w:rPr>
          <w:rFonts w:asciiTheme="minorHAnsi" w:hAnsiTheme="minorHAnsi" w:cstheme="minorHAnsi"/>
          <w:sz w:val="22"/>
          <w:szCs w:val="22"/>
        </w:rPr>
      </w:pPr>
    </w:p>
    <w:p w14:paraId="6AF8CA2E" w14:textId="77777777" w:rsidR="005D24EA" w:rsidRPr="005D24EA" w:rsidRDefault="005D24EA" w:rsidP="005D24EA">
      <w:pPr>
        <w:tabs>
          <w:tab w:val="left" w:pos="7092"/>
        </w:tabs>
        <w:spacing w:before="120" w:after="120" w:line="276" w:lineRule="auto"/>
        <w:rPr>
          <w:rFonts w:asciiTheme="minorHAnsi" w:hAnsiTheme="minorHAnsi" w:cstheme="minorHAnsi"/>
          <w:sz w:val="22"/>
          <w:szCs w:val="22"/>
        </w:rPr>
      </w:pPr>
    </w:p>
    <w:p w14:paraId="65714843" w14:textId="77777777" w:rsidR="005D24EA" w:rsidRPr="005D24EA" w:rsidRDefault="005D24EA" w:rsidP="005D24EA">
      <w:pPr>
        <w:tabs>
          <w:tab w:val="left" w:pos="7092"/>
        </w:tabs>
        <w:spacing w:before="120" w:after="120" w:line="276" w:lineRule="auto"/>
        <w:rPr>
          <w:rFonts w:asciiTheme="minorHAnsi" w:hAnsiTheme="minorHAnsi" w:cstheme="minorHAnsi"/>
          <w:sz w:val="22"/>
          <w:szCs w:val="22"/>
        </w:rPr>
      </w:pPr>
    </w:p>
    <w:bookmarkEnd w:id="0"/>
    <w:p w14:paraId="3DB56AE4" w14:textId="77777777" w:rsidR="005D24EA" w:rsidRDefault="005D24EA" w:rsidP="005D24EA">
      <w:pPr>
        <w:tabs>
          <w:tab w:val="left" w:pos="7092"/>
        </w:tabs>
        <w:jc w:val="center"/>
        <w:rPr>
          <w:rFonts w:asciiTheme="minorHAnsi" w:hAnsiTheme="minorHAnsi" w:cstheme="minorHAnsi"/>
          <w:b/>
        </w:rPr>
      </w:pPr>
    </w:p>
    <w:p w14:paraId="69355BA9" w14:textId="01B5FCF1" w:rsidR="005D24EA" w:rsidRPr="009B2C34" w:rsidRDefault="005D24EA" w:rsidP="005D24EA">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3F0A41EE" w14:textId="77777777" w:rsidR="005D24EA" w:rsidRPr="009B2C34" w:rsidRDefault="005D24EA" w:rsidP="005D24EA">
      <w:pPr>
        <w:jc w:val="center"/>
        <w:rPr>
          <w:rFonts w:asciiTheme="minorHAnsi" w:hAnsiTheme="minorHAnsi" w:cstheme="minorHAnsi"/>
        </w:rPr>
      </w:pPr>
      <w:r w:rsidRPr="009B2C34">
        <w:rPr>
          <w:rFonts w:asciiTheme="minorHAnsi" w:hAnsiTheme="minorHAnsi" w:cstheme="minorHAnsi"/>
        </w:rPr>
        <w:t>listopad 2025</w:t>
      </w:r>
    </w:p>
    <w:p w14:paraId="322BFF53" w14:textId="77777777" w:rsidR="005D24EA" w:rsidRPr="005D24EA" w:rsidRDefault="005D24EA" w:rsidP="005D24EA">
      <w:pPr>
        <w:spacing w:before="120" w:after="120" w:line="276" w:lineRule="auto"/>
        <w:rPr>
          <w:rFonts w:asciiTheme="minorHAnsi" w:hAnsiTheme="minorHAnsi" w:cstheme="minorHAnsi"/>
        </w:rPr>
      </w:pPr>
    </w:p>
    <w:p w14:paraId="4D0FA2DF" w14:textId="77777777" w:rsidR="005D24EA" w:rsidRPr="005D24EA" w:rsidRDefault="005D24EA" w:rsidP="005D24EA">
      <w:pPr>
        <w:pStyle w:val="Nagwek1"/>
      </w:pPr>
      <w:bookmarkStart w:id="1" w:name="_Hlk56252803"/>
      <w:bookmarkStart w:id="2" w:name="_Hlk56258135"/>
      <w:r w:rsidRPr="005D24EA">
        <w:lastRenderedPageBreak/>
        <w:t>1. WSTĘP</w:t>
      </w:r>
    </w:p>
    <w:p w14:paraId="6BE82B49" w14:textId="77777777" w:rsidR="005D24EA" w:rsidRPr="005D24EA" w:rsidRDefault="005D24EA" w:rsidP="005D24EA">
      <w:pPr>
        <w:pStyle w:val="Nagwek2"/>
      </w:pPr>
      <w:r w:rsidRPr="005D24EA">
        <w:t>1.1. Przedmiot SST</w:t>
      </w:r>
    </w:p>
    <w:p w14:paraId="44D18D66" w14:textId="77777777" w:rsidR="005D24EA" w:rsidRPr="005D24EA" w:rsidRDefault="005D24EA" w:rsidP="005D24EA">
      <w:pPr>
        <w:pStyle w:val="tekstost"/>
        <w:spacing w:before="120" w:after="120" w:line="276" w:lineRule="auto"/>
        <w:rPr>
          <w:rFonts w:asciiTheme="minorHAnsi" w:hAnsiTheme="minorHAnsi" w:cstheme="minorHAnsi"/>
        </w:rPr>
      </w:pPr>
      <w:r w:rsidRPr="005D24EA">
        <w:rPr>
          <w:rFonts w:asciiTheme="minorHAnsi" w:hAnsiTheme="minorHAnsi" w:cstheme="minorHAnsi"/>
          <w:kern w:val="28"/>
        </w:rPr>
        <w:t>Przedmiotem niniejszej szczegółowej specyfikacji technicznej (SST) są wymagania dotyczące</w:t>
      </w:r>
      <w:r w:rsidRPr="005D24EA">
        <w:rPr>
          <w:rFonts w:asciiTheme="minorHAnsi" w:hAnsiTheme="minorHAnsi" w:cstheme="minorHAnsi"/>
        </w:rPr>
        <w:t xml:space="preserve"> wykonania i odbioru robót związanych z przestawieniem betonowych obrzeży chodnikowych.</w:t>
      </w:r>
    </w:p>
    <w:p w14:paraId="362A61E4" w14:textId="77777777" w:rsidR="005D24EA" w:rsidRPr="005D24EA" w:rsidRDefault="005D24EA" w:rsidP="005D24EA">
      <w:pPr>
        <w:pStyle w:val="Nagwek2"/>
      </w:pPr>
      <w:r w:rsidRPr="005D24EA">
        <w:t>1.2. Zakres stosowania SST</w:t>
      </w:r>
    </w:p>
    <w:p w14:paraId="12FA2785" w14:textId="1E7CE2DD" w:rsidR="005D24EA" w:rsidRPr="005D24EA" w:rsidRDefault="005D24EA" w:rsidP="005D24EA">
      <w:pPr>
        <w:spacing w:before="120" w:after="120" w:line="276" w:lineRule="auto"/>
        <w:rPr>
          <w:rFonts w:asciiTheme="minorHAnsi" w:hAnsiTheme="minorHAnsi" w:cstheme="minorHAnsi"/>
        </w:rPr>
      </w:pPr>
      <w:bookmarkStart w:id="3" w:name="_Hlk56241919"/>
      <w:r w:rsidRPr="005D24EA">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5D24EA">
        <w:rPr>
          <w:rFonts w:asciiTheme="minorHAnsi" w:hAnsiTheme="minorHAnsi" w:cstheme="minorHAnsi"/>
          <w:kern w:val="28"/>
        </w:rPr>
        <w:t xml:space="preserve">i realizacji robót, usług i dostaw wymienionych w punkcie 1.1. w ramach bieżącego utrzymania sieci dróg </w:t>
      </w:r>
      <w:r w:rsidRPr="009B2C34">
        <w:rPr>
          <w:rFonts w:asciiTheme="minorHAnsi" w:hAnsiTheme="minorHAnsi" w:cstheme="minorHAnsi"/>
          <w:kern w:val="28"/>
        </w:rPr>
        <w:t xml:space="preserve">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sidRPr="005D24EA">
        <w:rPr>
          <w:rFonts w:asciiTheme="minorHAnsi" w:hAnsiTheme="minorHAnsi" w:cstheme="minorHAnsi"/>
          <w:kern w:val="28"/>
        </w:rPr>
        <w:t>.</w:t>
      </w:r>
    </w:p>
    <w:p w14:paraId="21CADBEE" w14:textId="77777777" w:rsidR="005D24EA" w:rsidRPr="005D24EA" w:rsidRDefault="005D24EA" w:rsidP="005D24EA">
      <w:pPr>
        <w:pStyle w:val="Nagwek2"/>
      </w:pPr>
      <w:bookmarkStart w:id="4" w:name="_Hlk56260145"/>
      <w:bookmarkEnd w:id="3"/>
      <w:r w:rsidRPr="005D24EA">
        <w:t>1.3. Zakres robót objętych SST</w:t>
      </w:r>
    </w:p>
    <w:bookmarkEnd w:id="1"/>
    <w:bookmarkEnd w:id="2"/>
    <w:bookmarkEnd w:id="4"/>
    <w:p w14:paraId="7E63FF4A" w14:textId="3817EEAF"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Ustalenia zawarte w niniejszej specyfikacji obejmują wymagania dotyczące prac bieżącego utrzymania dróg </w:t>
      </w:r>
      <w:r>
        <w:rPr>
          <w:rFonts w:asciiTheme="minorHAnsi" w:hAnsiTheme="minorHAnsi" w:cstheme="minorHAnsi"/>
        </w:rPr>
        <w:br/>
      </w:r>
      <w:r w:rsidRPr="005D24EA">
        <w:rPr>
          <w:rFonts w:asciiTheme="minorHAnsi" w:hAnsiTheme="minorHAnsi" w:cstheme="minorHAnsi"/>
        </w:rPr>
        <w:t xml:space="preserve">w zakresie obejmującym wymianę / ułożenie obrzeży betonowych. </w:t>
      </w:r>
    </w:p>
    <w:p w14:paraId="5D45C52C" w14:textId="77777777" w:rsidR="005D24EA" w:rsidRPr="005D24EA" w:rsidRDefault="005D24EA" w:rsidP="005D24EA">
      <w:pPr>
        <w:pStyle w:val="Nagwek2"/>
      </w:pPr>
      <w:r w:rsidRPr="005D24EA">
        <w:t>1.4. Określenia podstawowe</w:t>
      </w:r>
    </w:p>
    <w:p w14:paraId="58AA1C99" w14:textId="77777777" w:rsidR="005D24EA" w:rsidRPr="005D24EA" w:rsidRDefault="005D24EA" w:rsidP="005D24EA">
      <w:pPr>
        <w:pStyle w:val="11txt"/>
        <w:widowControl w:val="0"/>
        <w:numPr>
          <w:ilvl w:val="2"/>
          <w:numId w:val="18"/>
        </w:numPr>
        <w:tabs>
          <w:tab w:val="clear" w:pos="1985"/>
          <w:tab w:val="clear" w:pos="2041"/>
          <w:tab w:val="left" w:pos="1134"/>
        </w:tabs>
        <w:spacing w:line="276" w:lineRule="auto"/>
        <w:ind w:left="1135" w:hanging="851"/>
        <w:rPr>
          <w:rFonts w:asciiTheme="minorHAnsi" w:hAnsiTheme="minorHAnsi" w:cstheme="minorHAnsi"/>
          <w:sz w:val="20"/>
        </w:rPr>
      </w:pPr>
      <w:bookmarkStart w:id="5" w:name="_Hlk56246471"/>
      <w:bookmarkStart w:id="6" w:name="_Hlk56260795"/>
      <w:bookmarkStart w:id="7" w:name="_Hlk56368296"/>
      <w:r w:rsidRPr="005D24EA">
        <w:rPr>
          <w:rFonts w:asciiTheme="minorHAnsi" w:hAnsiTheme="minorHAnsi" w:cstheme="minorHAnsi"/>
          <w:sz w:val="20"/>
        </w:rPr>
        <w:t xml:space="preserve">Obrzeże chodnikowe - prefabrykowane belki betonowe rozgraniczające jednostronnie lub dwustronnie ciągi komunikacyjne od terenów nie przeznaczonych do komunikacji. </w:t>
      </w:r>
    </w:p>
    <w:p w14:paraId="1117FDD7" w14:textId="77777777" w:rsidR="005D24EA" w:rsidRPr="005D24EA" w:rsidRDefault="005D24EA" w:rsidP="005D24EA">
      <w:pPr>
        <w:pStyle w:val="11txt"/>
        <w:widowControl w:val="0"/>
        <w:numPr>
          <w:ilvl w:val="2"/>
          <w:numId w:val="18"/>
        </w:numPr>
        <w:tabs>
          <w:tab w:val="clear" w:pos="1985"/>
          <w:tab w:val="clear" w:pos="2041"/>
          <w:tab w:val="left" w:pos="1134"/>
        </w:tabs>
        <w:spacing w:line="276" w:lineRule="auto"/>
        <w:ind w:left="1135" w:hanging="851"/>
        <w:rPr>
          <w:rFonts w:asciiTheme="minorHAnsi" w:hAnsiTheme="minorHAnsi" w:cstheme="minorHAnsi"/>
          <w:sz w:val="20"/>
        </w:rPr>
      </w:pPr>
      <w:r w:rsidRPr="005D24EA">
        <w:rPr>
          <w:rFonts w:asciiTheme="minorHAnsi" w:hAnsiTheme="minorHAnsi" w:cstheme="minorHAnsi"/>
          <w:sz w:val="20"/>
        </w:rPr>
        <w:t xml:space="preserve">Remont cząstkowy betonowego obrzeża chodnikowego - naprawa pojedynczych uszkodzeń ciągów obrzeża o długości do około 10 m, metodą ich przestawienia. </w:t>
      </w:r>
    </w:p>
    <w:p w14:paraId="6071D5EE" w14:textId="77777777" w:rsidR="005D24EA" w:rsidRPr="005D24EA" w:rsidRDefault="005D24EA" w:rsidP="005D24EA">
      <w:pPr>
        <w:pStyle w:val="11txt"/>
        <w:widowControl w:val="0"/>
        <w:numPr>
          <w:ilvl w:val="2"/>
          <w:numId w:val="18"/>
        </w:numPr>
        <w:tabs>
          <w:tab w:val="clear" w:pos="-426"/>
          <w:tab w:val="clear" w:pos="142"/>
          <w:tab w:val="clear" w:pos="1985"/>
          <w:tab w:val="clear" w:pos="2041"/>
          <w:tab w:val="clear" w:pos="2381"/>
          <w:tab w:val="clear" w:pos="2722"/>
          <w:tab w:val="clear" w:pos="3061"/>
          <w:tab w:val="clear" w:pos="3402"/>
          <w:tab w:val="clear" w:pos="3828"/>
          <w:tab w:val="clear" w:pos="4678"/>
          <w:tab w:val="clear" w:pos="5669"/>
          <w:tab w:val="left" w:pos="1134"/>
        </w:tabs>
        <w:spacing w:line="276" w:lineRule="auto"/>
        <w:ind w:left="1135" w:hanging="851"/>
        <w:rPr>
          <w:rFonts w:asciiTheme="minorHAnsi" w:hAnsiTheme="minorHAnsi" w:cstheme="minorHAnsi"/>
          <w:sz w:val="20"/>
          <w:szCs w:val="20"/>
        </w:rPr>
      </w:pPr>
      <w:r w:rsidRPr="005D24EA">
        <w:rPr>
          <w:rFonts w:asciiTheme="minorHAnsi" w:hAnsiTheme="minorHAnsi" w:cstheme="minorHAnsi"/>
          <w:sz w:val="20"/>
        </w:rPr>
        <w:t xml:space="preserve">Spoina - odstęp pomiędzy przylegającymi elementami (obrzeżami), wypełniony określonym materiałem wypełniającym. </w:t>
      </w:r>
    </w:p>
    <w:p w14:paraId="0A28E77A" w14:textId="092C8479" w:rsidR="005D24EA" w:rsidRPr="005D24EA" w:rsidRDefault="005D24EA" w:rsidP="005D24EA">
      <w:pPr>
        <w:pStyle w:val="11txt"/>
        <w:widowControl w:val="0"/>
        <w:numPr>
          <w:ilvl w:val="2"/>
          <w:numId w:val="18"/>
        </w:numPr>
        <w:tabs>
          <w:tab w:val="clear" w:pos="-426"/>
          <w:tab w:val="clear" w:pos="142"/>
          <w:tab w:val="clear" w:pos="1985"/>
          <w:tab w:val="clear" w:pos="2041"/>
          <w:tab w:val="clear" w:pos="2381"/>
          <w:tab w:val="clear" w:pos="2722"/>
          <w:tab w:val="clear" w:pos="3061"/>
          <w:tab w:val="clear" w:pos="3402"/>
          <w:tab w:val="clear" w:pos="3828"/>
          <w:tab w:val="clear" w:pos="4678"/>
          <w:tab w:val="clear" w:pos="5669"/>
          <w:tab w:val="left" w:pos="1134"/>
        </w:tabs>
        <w:spacing w:line="276" w:lineRule="auto"/>
        <w:ind w:left="1135" w:hanging="851"/>
        <w:rPr>
          <w:rFonts w:asciiTheme="minorHAnsi" w:hAnsiTheme="minorHAnsi" w:cstheme="minorHAnsi"/>
          <w:sz w:val="20"/>
          <w:szCs w:val="20"/>
        </w:rPr>
      </w:pPr>
      <w:r w:rsidRPr="005D24EA">
        <w:rPr>
          <w:rFonts w:asciiTheme="minorHAnsi" w:hAnsiTheme="minorHAnsi" w:cstheme="minorHAnsi"/>
          <w:sz w:val="20"/>
          <w:szCs w:val="20"/>
        </w:rPr>
        <w:t xml:space="preserve">Pozostałe </w:t>
      </w:r>
      <w:bookmarkStart w:id="8" w:name="_Hlk56258364"/>
      <w:bookmarkStart w:id="9" w:name="_Hlk56358714"/>
      <w:r w:rsidRPr="005D24EA">
        <w:rPr>
          <w:rFonts w:asciiTheme="minorHAnsi" w:hAnsiTheme="minorHAnsi" w:cstheme="minorHAnsi"/>
          <w:sz w:val="20"/>
          <w:szCs w:val="20"/>
        </w:rPr>
        <w:t>określenia podane w niniejszej specyfikacji są zgodne z obowiązującymi polskimi normami, SST D-M-00.00.00. Wymagania Ogólne pkt.</w:t>
      </w:r>
      <w:bookmarkEnd w:id="7"/>
      <w:r w:rsidRPr="005D24EA">
        <w:rPr>
          <w:rFonts w:asciiTheme="minorHAnsi" w:hAnsiTheme="minorHAnsi" w:cstheme="minorHAnsi"/>
          <w:sz w:val="20"/>
          <w:szCs w:val="20"/>
        </w:rPr>
        <w:t xml:space="preserve"> </w:t>
      </w:r>
      <w:bookmarkEnd w:id="9"/>
      <w:r w:rsidRPr="005D24EA">
        <w:rPr>
          <w:rFonts w:asciiTheme="minorHAnsi" w:hAnsiTheme="minorHAnsi" w:cstheme="minorHAnsi"/>
          <w:sz w:val="20"/>
          <w:szCs w:val="20"/>
        </w:rPr>
        <w:t>1.4</w:t>
      </w:r>
      <w:bookmarkEnd w:id="8"/>
      <w:r w:rsidRPr="005D24EA">
        <w:rPr>
          <w:rFonts w:asciiTheme="minorHAnsi" w:hAnsiTheme="minorHAnsi" w:cstheme="minorHAnsi"/>
          <w:sz w:val="20"/>
          <w:szCs w:val="20"/>
        </w:rPr>
        <w:t>.</w:t>
      </w:r>
    </w:p>
    <w:p w14:paraId="5E44E8E4" w14:textId="77777777" w:rsidR="005D24EA" w:rsidRPr="005D24EA" w:rsidRDefault="005D24EA" w:rsidP="005D24EA">
      <w:pPr>
        <w:pStyle w:val="Nagwek2"/>
      </w:pPr>
      <w:bookmarkStart w:id="10" w:name="_Hlk56258390"/>
      <w:bookmarkEnd w:id="5"/>
      <w:r w:rsidRPr="005D24EA">
        <w:t>1.5. Ogólne wymagania dotyczące robót</w:t>
      </w:r>
    </w:p>
    <w:p w14:paraId="14A76E2A" w14:textId="1D0530CB" w:rsidR="005D24EA" w:rsidRPr="005D24EA" w:rsidRDefault="005D24EA" w:rsidP="005D24EA">
      <w:pPr>
        <w:spacing w:before="120" w:after="120" w:line="276" w:lineRule="auto"/>
        <w:rPr>
          <w:rFonts w:asciiTheme="minorHAnsi" w:hAnsiTheme="minorHAnsi" w:cstheme="minorHAnsi"/>
        </w:rPr>
      </w:pPr>
      <w:bookmarkStart w:id="11" w:name="_Hlk56246453"/>
      <w:r w:rsidRPr="005D24EA">
        <w:rPr>
          <w:rFonts w:asciiTheme="minorHAnsi" w:hAnsiTheme="minorHAnsi" w:cstheme="minorHAnsi"/>
        </w:rPr>
        <w:t>Ogólne wymagania dotyczące robót podane w SST D-M-00.00.00 Wymagania ogólne pkt. 1.5.</w:t>
      </w:r>
    </w:p>
    <w:bookmarkEnd w:id="6"/>
    <w:bookmarkEnd w:id="10"/>
    <w:bookmarkEnd w:id="11"/>
    <w:p w14:paraId="7639F3FB" w14:textId="77777777" w:rsidR="005D24EA" w:rsidRPr="005D24EA" w:rsidRDefault="005D24EA" w:rsidP="005D24EA">
      <w:pPr>
        <w:pStyle w:val="Nagwek1"/>
      </w:pPr>
      <w:r w:rsidRPr="005D24EA">
        <w:t>2. MATERIAŁY</w:t>
      </w:r>
    </w:p>
    <w:p w14:paraId="2851E344" w14:textId="77777777" w:rsidR="005D24EA" w:rsidRPr="005D24EA" w:rsidRDefault="005D24EA" w:rsidP="005D24EA">
      <w:pPr>
        <w:pStyle w:val="Nagwek2"/>
      </w:pPr>
      <w:bookmarkStart w:id="12" w:name="_Hlk56253016"/>
      <w:r w:rsidRPr="005D24EA">
        <w:t>2.1. Ogólne wymagania dotyczące materiałów</w:t>
      </w:r>
    </w:p>
    <w:p w14:paraId="68885D93" w14:textId="77777777" w:rsidR="005D24EA" w:rsidRPr="005D24EA" w:rsidRDefault="005D24EA" w:rsidP="005D24EA">
      <w:pPr>
        <w:spacing w:before="120" w:after="120" w:line="276" w:lineRule="auto"/>
        <w:rPr>
          <w:rFonts w:asciiTheme="minorHAnsi" w:hAnsiTheme="minorHAnsi" w:cstheme="minorHAnsi"/>
        </w:rPr>
      </w:pPr>
      <w:bookmarkStart w:id="13" w:name="_Hlk56246519"/>
      <w:r w:rsidRPr="005D24EA">
        <w:rPr>
          <w:rFonts w:asciiTheme="minorHAnsi" w:hAnsiTheme="minorHAnsi" w:cstheme="minorHAnsi"/>
        </w:rPr>
        <w:t>Ogólne wymagania dotyczące materiałów, ich pozyskiwania i składowania, podano w  SST D-M-00.00.00 Wymagania ogólne pkt. 2.</w:t>
      </w:r>
    </w:p>
    <w:bookmarkEnd w:id="12"/>
    <w:bookmarkEnd w:id="13"/>
    <w:p w14:paraId="527AC13E" w14:textId="77777777" w:rsidR="005D24EA" w:rsidRPr="005D24EA" w:rsidRDefault="005D24EA" w:rsidP="005D24EA">
      <w:pPr>
        <w:pStyle w:val="Nagwek2"/>
      </w:pPr>
      <w:r w:rsidRPr="005D24EA">
        <w:t xml:space="preserve">2.2. Materiały do wykonania robót </w:t>
      </w:r>
    </w:p>
    <w:p w14:paraId="4A54567E" w14:textId="77777777" w:rsidR="005D24EA" w:rsidRPr="005D24EA" w:rsidRDefault="005D24EA" w:rsidP="005D24EA">
      <w:pPr>
        <w:spacing w:before="120" w:after="120" w:line="276" w:lineRule="auto"/>
        <w:rPr>
          <w:rFonts w:asciiTheme="minorHAnsi" w:hAnsiTheme="minorHAnsi" w:cstheme="minorHAnsi"/>
          <w:bCs/>
          <w:u w:val="single"/>
        </w:rPr>
      </w:pPr>
      <w:r w:rsidRPr="005D24EA">
        <w:rPr>
          <w:rFonts w:asciiTheme="minorHAnsi" w:hAnsiTheme="minorHAnsi" w:cstheme="minorHAnsi"/>
          <w:bCs/>
          <w:u w:val="single"/>
        </w:rPr>
        <w:t xml:space="preserve">2.2.1. Zgodność materiałów z dokumentacją projektową </w:t>
      </w:r>
    </w:p>
    <w:p w14:paraId="2086F9FD"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 xml:space="preserve">Materiały do wykonania robót powinny być zgodne z ustaleniami dokumentacji projektowej lub SST. </w:t>
      </w:r>
    </w:p>
    <w:p w14:paraId="75312D0F" w14:textId="77777777" w:rsidR="005D24EA" w:rsidRPr="005D24EA" w:rsidRDefault="005D24EA" w:rsidP="005D24EA">
      <w:pPr>
        <w:spacing w:before="120" w:after="120" w:line="276" w:lineRule="auto"/>
        <w:rPr>
          <w:rFonts w:asciiTheme="minorHAnsi" w:hAnsiTheme="minorHAnsi" w:cstheme="minorHAnsi"/>
          <w:bCs/>
          <w:u w:val="single"/>
        </w:rPr>
      </w:pPr>
      <w:r w:rsidRPr="005D24EA">
        <w:rPr>
          <w:rFonts w:asciiTheme="minorHAnsi" w:hAnsiTheme="minorHAnsi" w:cstheme="minorHAnsi"/>
          <w:bCs/>
          <w:u w:val="single"/>
        </w:rPr>
        <w:t xml:space="preserve">2.2.2. Betonowe obrzeża chodnikowe </w:t>
      </w:r>
    </w:p>
    <w:p w14:paraId="7A9A8398"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 xml:space="preserve">Do remontu cząstkowego (przestawienia) betonowych obrzeży chodnikowych należy użyć: </w:t>
      </w:r>
    </w:p>
    <w:p w14:paraId="14B754D5" w14:textId="1B644C4A" w:rsidR="005D24EA" w:rsidRPr="005D24EA" w:rsidRDefault="005D24EA" w:rsidP="005D24EA">
      <w:pPr>
        <w:overflowPunct/>
        <w:autoSpaceDE/>
        <w:autoSpaceDN/>
        <w:adjustRightInd/>
        <w:spacing w:line="276" w:lineRule="auto"/>
        <w:textAlignment w:val="auto"/>
        <w:rPr>
          <w:rFonts w:asciiTheme="minorHAnsi" w:hAnsiTheme="minorHAnsi" w:cstheme="minorHAnsi"/>
          <w:bCs/>
        </w:rPr>
      </w:pPr>
      <w:r>
        <w:rPr>
          <w:rFonts w:asciiTheme="minorHAnsi" w:hAnsiTheme="minorHAnsi" w:cstheme="minorHAnsi"/>
          <w:bCs/>
        </w:rPr>
        <w:t xml:space="preserve">- </w:t>
      </w:r>
      <w:r w:rsidRPr="005D24EA">
        <w:rPr>
          <w:rFonts w:asciiTheme="minorHAnsi" w:hAnsiTheme="minorHAnsi" w:cstheme="minorHAnsi"/>
          <w:bCs/>
        </w:rPr>
        <w:t xml:space="preserve">obrzeża, uzyskane z rozbiórki, nadające się do ponownego wbudowania, </w:t>
      </w:r>
    </w:p>
    <w:p w14:paraId="583E3789" w14:textId="7B071D99" w:rsidR="005D24EA" w:rsidRPr="005D24EA" w:rsidRDefault="005D24EA" w:rsidP="005D24EA">
      <w:pPr>
        <w:overflowPunct/>
        <w:autoSpaceDE/>
        <w:autoSpaceDN/>
        <w:adjustRightInd/>
        <w:spacing w:line="276" w:lineRule="auto"/>
        <w:textAlignment w:val="auto"/>
        <w:rPr>
          <w:rFonts w:asciiTheme="minorHAnsi" w:hAnsiTheme="minorHAnsi" w:cstheme="minorHAnsi"/>
          <w:bCs/>
        </w:rPr>
      </w:pPr>
      <w:r>
        <w:rPr>
          <w:rFonts w:asciiTheme="minorHAnsi" w:hAnsiTheme="minorHAnsi" w:cstheme="minorHAnsi"/>
          <w:bCs/>
        </w:rPr>
        <w:t xml:space="preserve">- </w:t>
      </w:r>
      <w:r w:rsidRPr="005D24EA">
        <w:rPr>
          <w:rFonts w:asciiTheme="minorHAnsi" w:hAnsiTheme="minorHAnsi" w:cstheme="minorHAnsi"/>
          <w:bCs/>
        </w:rPr>
        <w:t>nowe obrzeża, odpowiadające wymaganiom OST D-08.03.01, jako materiał zastępujący istniejące obrzeża</w:t>
      </w:r>
      <w:r>
        <w:rPr>
          <w:rFonts w:asciiTheme="minorHAnsi" w:hAnsiTheme="minorHAnsi" w:cstheme="minorHAnsi"/>
          <w:bCs/>
        </w:rPr>
        <w:t xml:space="preserve"> </w:t>
      </w:r>
      <w:r w:rsidRPr="005D24EA">
        <w:rPr>
          <w:rFonts w:asciiTheme="minorHAnsi" w:hAnsiTheme="minorHAnsi" w:cstheme="minorHAnsi"/>
          <w:bCs/>
        </w:rPr>
        <w:t xml:space="preserve">uszkodzone, o podobnych wymiarach, kształcie i wyglądzie. </w:t>
      </w:r>
    </w:p>
    <w:p w14:paraId="2AA8C3A6"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Obrzeża betonowe wg PN-EN 1340:</w:t>
      </w:r>
    </w:p>
    <w:p w14:paraId="276679D8" w14:textId="77777777" w:rsidR="005D24EA" w:rsidRPr="005D24EA" w:rsidRDefault="005D24EA" w:rsidP="005D24EA">
      <w:pPr>
        <w:numPr>
          <w:ilvl w:val="0"/>
          <w:numId w:val="69"/>
        </w:numPr>
        <w:overflowPunct/>
        <w:autoSpaceDE/>
        <w:autoSpaceDN/>
        <w:adjustRightInd/>
        <w:spacing w:line="276" w:lineRule="auto"/>
        <w:ind w:left="284" w:hanging="284"/>
        <w:textAlignment w:val="auto"/>
        <w:rPr>
          <w:rFonts w:asciiTheme="minorHAnsi" w:hAnsiTheme="minorHAnsi" w:cstheme="minorHAnsi"/>
          <w:bCs/>
        </w:rPr>
      </w:pPr>
      <w:r w:rsidRPr="005D24EA">
        <w:rPr>
          <w:rFonts w:asciiTheme="minorHAnsi" w:hAnsiTheme="minorHAnsi" w:cstheme="minorHAnsi"/>
          <w:bCs/>
        </w:rPr>
        <w:t>Odporność na zamrażanie/rozmrażanie z udziałem soli odladzających: klasa 3</w:t>
      </w:r>
    </w:p>
    <w:p w14:paraId="215D1256" w14:textId="77777777" w:rsidR="005D24EA" w:rsidRPr="005D24EA" w:rsidRDefault="005D24EA" w:rsidP="005D24EA">
      <w:pPr>
        <w:numPr>
          <w:ilvl w:val="0"/>
          <w:numId w:val="69"/>
        </w:numPr>
        <w:overflowPunct/>
        <w:autoSpaceDE/>
        <w:autoSpaceDN/>
        <w:adjustRightInd/>
        <w:spacing w:line="276" w:lineRule="auto"/>
        <w:ind w:left="284" w:hanging="284"/>
        <w:textAlignment w:val="auto"/>
        <w:rPr>
          <w:rFonts w:asciiTheme="minorHAnsi" w:hAnsiTheme="minorHAnsi" w:cstheme="minorHAnsi"/>
          <w:bCs/>
        </w:rPr>
      </w:pPr>
      <w:r w:rsidRPr="005D24EA">
        <w:rPr>
          <w:rFonts w:asciiTheme="minorHAnsi" w:hAnsiTheme="minorHAnsi" w:cstheme="minorHAnsi"/>
          <w:bCs/>
        </w:rPr>
        <w:t>Wytrzymałość na zginanie wg PN-EN 1339: klasa 2</w:t>
      </w:r>
    </w:p>
    <w:p w14:paraId="0A952FEF" w14:textId="77777777" w:rsidR="005D24EA" w:rsidRPr="005D24EA" w:rsidRDefault="005D24EA" w:rsidP="005D24EA">
      <w:pPr>
        <w:numPr>
          <w:ilvl w:val="0"/>
          <w:numId w:val="69"/>
        </w:numPr>
        <w:overflowPunct/>
        <w:autoSpaceDE/>
        <w:autoSpaceDN/>
        <w:adjustRightInd/>
        <w:spacing w:line="276" w:lineRule="auto"/>
        <w:ind w:left="284" w:hanging="284"/>
        <w:textAlignment w:val="auto"/>
        <w:rPr>
          <w:rFonts w:asciiTheme="minorHAnsi" w:hAnsiTheme="minorHAnsi" w:cstheme="minorHAnsi"/>
          <w:bCs/>
        </w:rPr>
      </w:pPr>
      <w:r w:rsidRPr="005D24EA">
        <w:rPr>
          <w:rFonts w:asciiTheme="minorHAnsi" w:hAnsiTheme="minorHAnsi" w:cstheme="minorHAnsi"/>
          <w:bCs/>
        </w:rPr>
        <w:t>Odporność na ścieralnie: klasa 4</w:t>
      </w:r>
    </w:p>
    <w:p w14:paraId="185C8A44" w14:textId="5B075F8E" w:rsidR="005D24EA" w:rsidRPr="005D24EA" w:rsidRDefault="005D24EA" w:rsidP="005D24EA">
      <w:pPr>
        <w:numPr>
          <w:ilvl w:val="0"/>
          <w:numId w:val="69"/>
        </w:numPr>
        <w:overflowPunct/>
        <w:autoSpaceDE/>
        <w:autoSpaceDN/>
        <w:adjustRightInd/>
        <w:spacing w:line="276" w:lineRule="auto"/>
        <w:ind w:left="284" w:hanging="284"/>
        <w:textAlignment w:val="auto"/>
        <w:rPr>
          <w:rFonts w:asciiTheme="minorHAnsi" w:hAnsiTheme="minorHAnsi" w:cstheme="minorHAnsi"/>
          <w:bCs/>
        </w:rPr>
      </w:pPr>
      <w:r w:rsidRPr="005D24EA">
        <w:rPr>
          <w:rFonts w:asciiTheme="minorHAnsi" w:hAnsiTheme="minorHAnsi" w:cstheme="minorHAnsi"/>
          <w:bCs/>
        </w:rPr>
        <w:t xml:space="preserve">Nasiąkliwość: klasa 2 (w przypadku niespełnienia wymagania dla nasiąkliwości, parametrem decydującym </w:t>
      </w:r>
      <w:r>
        <w:rPr>
          <w:rFonts w:asciiTheme="minorHAnsi" w:hAnsiTheme="minorHAnsi" w:cstheme="minorHAnsi"/>
          <w:bCs/>
        </w:rPr>
        <w:br/>
      </w:r>
      <w:r w:rsidRPr="005D24EA">
        <w:rPr>
          <w:rFonts w:asciiTheme="minorHAnsi" w:hAnsiTheme="minorHAnsi" w:cstheme="minorHAnsi"/>
          <w:bCs/>
        </w:rPr>
        <w:t>o trwałości betonu będzie odporność na działanie środków odladzających)</w:t>
      </w:r>
    </w:p>
    <w:p w14:paraId="31310D26"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lastRenderedPageBreak/>
        <w:t>Wymiary nominalne powinny być zadeklarowane przez Producenta zgodnie z wymaganiami dokumentacji projektowej. Dopuszczalne odchyłki wymiarów nominalnych powinny być zgodne z wymaganiami podanymi w PN-EN 1340.</w:t>
      </w:r>
    </w:p>
    <w:p w14:paraId="41D2385B"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Powierzchnia obrzeży nie powinna mieć rys i odprysków.</w:t>
      </w:r>
    </w:p>
    <w:p w14:paraId="38C8D4D3" w14:textId="77777777" w:rsidR="005D24EA" w:rsidRPr="005D24EA" w:rsidRDefault="005D24EA" w:rsidP="005D24EA">
      <w:pPr>
        <w:spacing w:before="120" w:after="120" w:line="276" w:lineRule="auto"/>
        <w:rPr>
          <w:rFonts w:asciiTheme="minorHAnsi" w:hAnsiTheme="minorHAnsi" w:cstheme="minorHAnsi"/>
          <w:bCs/>
          <w:u w:val="single"/>
        </w:rPr>
      </w:pPr>
      <w:r w:rsidRPr="005D24EA">
        <w:rPr>
          <w:rFonts w:asciiTheme="minorHAnsi" w:hAnsiTheme="minorHAnsi" w:cstheme="minorHAnsi"/>
          <w:bCs/>
          <w:u w:val="single"/>
        </w:rPr>
        <w:t xml:space="preserve">2.2.3. Materiały na podsypkę i do wypełnienia spoin </w:t>
      </w:r>
    </w:p>
    <w:p w14:paraId="0B996D5C"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 xml:space="preserve">Na podsypkę cementowo- piaskową należy stosować następujące materiały: </w:t>
      </w:r>
    </w:p>
    <w:p w14:paraId="18051992" w14:textId="77777777" w:rsidR="005D24EA" w:rsidRPr="005D24EA" w:rsidRDefault="005D24EA" w:rsidP="005D24EA">
      <w:pPr>
        <w:spacing w:before="120" w:after="120" w:line="276" w:lineRule="auto"/>
        <w:ind w:left="284" w:hanging="284"/>
        <w:rPr>
          <w:rFonts w:asciiTheme="minorHAnsi" w:hAnsiTheme="minorHAnsi" w:cstheme="minorHAnsi"/>
          <w:bCs/>
        </w:rPr>
      </w:pPr>
      <w:r w:rsidRPr="005D24EA">
        <w:rPr>
          <w:rFonts w:asciiTheme="minorHAnsi" w:hAnsiTheme="minorHAnsi" w:cstheme="minorHAnsi"/>
          <w:bCs/>
        </w:rPr>
        <w:t xml:space="preserve">a) cement powszechnego użytku wg. PN-EN 197-1, </w:t>
      </w:r>
    </w:p>
    <w:p w14:paraId="16B2C3E4" w14:textId="77777777" w:rsidR="005D24EA" w:rsidRPr="005D24EA" w:rsidRDefault="005D24EA" w:rsidP="005D24EA">
      <w:pPr>
        <w:spacing w:before="120" w:after="120" w:line="276" w:lineRule="auto"/>
        <w:ind w:left="284" w:hanging="284"/>
        <w:rPr>
          <w:rFonts w:asciiTheme="minorHAnsi" w:hAnsiTheme="minorHAnsi" w:cstheme="minorHAnsi"/>
          <w:bCs/>
        </w:rPr>
      </w:pPr>
      <w:r w:rsidRPr="005D24EA">
        <w:rPr>
          <w:rFonts w:asciiTheme="minorHAnsi" w:hAnsiTheme="minorHAnsi" w:cstheme="minorHAnsi"/>
          <w:bCs/>
        </w:rPr>
        <w:t xml:space="preserve">b) kruszywo drobne 0/2, 0/4 lub 0/5 wg. normy PN-EN 13242 kategorii uziarnienia GF80, zawartości pyłów f10, </w:t>
      </w:r>
    </w:p>
    <w:p w14:paraId="6311D11A" w14:textId="77777777" w:rsidR="005D24EA" w:rsidRPr="005D24EA" w:rsidRDefault="005D24EA" w:rsidP="005D24EA">
      <w:pPr>
        <w:spacing w:before="120" w:after="120" w:line="276" w:lineRule="auto"/>
        <w:ind w:left="284" w:hanging="284"/>
        <w:rPr>
          <w:rFonts w:asciiTheme="minorHAnsi" w:hAnsiTheme="minorHAnsi" w:cstheme="minorHAnsi"/>
          <w:bCs/>
        </w:rPr>
      </w:pPr>
      <w:r w:rsidRPr="005D24EA">
        <w:rPr>
          <w:rFonts w:asciiTheme="minorHAnsi" w:hAnsiTheme="minorHAnsi" w:cstheme="minorHAnsi"/>
          <w:bCs/>
        </w:rPr>
        <w:t xml:space="preserve">c) kruszywo 1/4, 2/5 lub 2/8, wg. normy PN-EN 13242 kategorii uziarnienia GC80-20, zawartości pyłów </w:t>
      </w:r>
      <w:proofErr w:type="spellStart"/>
      <w:r w:rsidRPr="005D24EA">
        <w:rPr>
          <w:rFonts w:asciiTheme="minorHAnsi" w:hAnsiTheme="minorHAnsi" w:cstheme="minorHAnsi"/>
          <w:bCs/>
        </w:rPr>
        <w:t>f</w:t>
      </w:r>
      <w:r w:rsidRPr="005D24EA">
        <w:rPr>
          <w:rFonts w:asciiTheme="minorHAnsi" w:hAnsiTheme="minorHAnsi" w:cstheme="minorHAnsi"/>
          <w:bCs/>
          <w:vertAlign w:val="subscript"/>
        </w:rPr>
        <w:t>deklarowana</w:t>
      </w:r>
      <w:proofErr w:type="spellEnd"/>
      <w:r w:rsidRPr="005D24EA">
        <w:rPr>
          <w:rFonts w:asciiTheme="minorHAnsi" w:hAnsiTheme="minorHAnsi" w:cstheme="minorHAnsi"/>
          <w:bCs/>
        </w:rPr>
        <w:t xml:space="preserve"> (max. do 10% pyłów), </w:t>
      </w:r>
    </w:p>
    <w:p w14:paraId="3D8FB307" w14:textId="77777777" w:rsidR="005D24EA" w:rsidRPr="005D24EA" w:rsidRDefault="005D24EA" w:rsidP="005D24EA">
      <w:pPr>
        <w:spacing w:before="120" w:after="120" w:line="276" w:lineRule="auto"/>
        <w:ind w:left="284" w:hanging="284"/>
        <w:rPr>
          <w:rFonts w:asciiTheme="minorHAnsi" w:hAnsiTheme="minorHAnsi" w:cstheme="minorHAnsi"/>
          <w:bCs/>
        </w:rPr>
      </w:pPr>
      <w:r w:rsidRPr="005D24EA">
        <w:rPr>
          <w:rFonts w:asciiTheme="minorHAnsi" w:hAnsiTheme="minorHAnsi" w:cstheme="minorHAnsi"/>
          <w:bCs/>
        </w:rPr>
        <w:t xml:space="preserve">d) woda zgodna z normą PN-EN 1008 (bez badań laboratoryjnych można stosować wodę wodociągową pitną). </w:t>
      </w:r>
    </w:p>
    <w:p w14:paraId="4CD3F28D"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 xml:space="preserve">Zalecane proporcje mieszania cementu i kruszywa to 1:4 (w stosunku wagowym). </w:t>
      </w:r>
    </w:p>
    <w:p w14:paraId="7A0CF159"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Kruszywo nie może być zanieczyszczone ciałami obcymi takimi jak: trawa, szczątki korzeni, konarów, szkło, plastik, grudki gliny.</w:t>
      </w:r>
    </w:p>
    <w:p w14:paraId="5D93D346" w14:textId="77777777" w:rsidR="005D24EA" w:rsidRPr="005D24EA" w:rsidRDefault="005D24EA" w:rsidP="005D24EA">
      <w:pPr>
        <w:spacing w:before="120" w:after="120" w:line="276" w:lineRule="auto"/>
        <w:rPr>
          <w:rFonts w:asciiTheme="minorHAnsi" w:hAnsiTheme="minorHAnsi" w:cstheme="minorHAnsi"/>
          <w:bCs/>
        </w:rPr>
      </w:pPr>
      <w:r w:rsidRPr="005D24EA">
        <w:rPr>
          <w:rFonts w:asciiTheme="minorHAnsi" w:hAnsiTheme="minorHAnsi" w:cstheme="minorHAnsi"/>
          <w:bCs/>
        </w:rPr>
        <w:t>Do wypełnienia szczelin należy stosować mieszankę cementowo-piaskową w stosunku 1:2 z cementu powszechnego użytku klasy 32,5N wg PN-EN 197-1 i z kruszywa drobnego 0/2  wg normy PN-EN 13242 kategorii uziarnienia G</w:t>
      </w:r>
      <w:r w:rsidRPr="005D24EA">
        <w:rPr>
          <w:rFonts w:asciiTheme="minorHAnsi" w:hAnsiTheme="minorHAnsi" w:cstheme="minorHAnsi"/>
          <w:bCs/>
          <w:vertAlign w:val="subscript"/>
        </w:rPr>
        <w:t>F</w:t>
      </w:r>
      <w:r w:rsidRPr="005D24EA">
        <w:rPr>
          <w:rFonts w:asciiTheme="minorHAnsi" w:hAnsiTheme="minorHAnsi" w:cstheme="minorHAnsi"/>
          <w:bCs/>
        </w:rPr>
        <w:t>80, zawartości pyłów f</w:t>
      </w:r>
      <w:r w:rsidRPr="005D24EA">
        <w:rPr>
          <w:rFonts w:asciiTheme="minorHAnsi" w:hAnsiTheme="minorHAnsi" w:cstheme="minorHAnsi"/>
          <w:bCs/>
          <w:vertAlign w:val="subscript"/>
        </w:rPr>
        <w:t>3</w:t>
      </w:r>
      <w:r w:rsidRPr="005D24EA">
        <w:rPr>
          <w:rFonts w:asciiTheme="minorHAnsi" w:hAnsiTheme="minorHAnsi" w:cstheme="minorHAnsi"/>
          <w:bCs/>
        </w:rPr>
        <w:t>, spełniającego wymagania PN-EN 13139 , wody wg PN-EN 1008  lub inne specjalistyczne materiały przewidziane do stosowania w wykonawstwie nawierzchni brukowych.</w:t>
      </w:r>
    </w:p>
    <w:p w14:paraId="0B1D0CA9" w14:textId="77777777" w:rsidR="005D24EA" w:rsidRPr="005D24EA" w:rsidRDefault="005D24EA" w:rsidP="005D24EA">
      <w:pPr>
        <w:pStyle w:val="Nagwek1"/>
      </w:pPr>
      <w:r w:rsidRPr="005D24EA">
        <w:t>3. SPRZĘT</w:t>
      </w:r>
    </w:p>
    <w:p w14:paraId="747B55E8" w14:textId="77777777" w:rsidR="005D24EA" w:rsidRPr="005D24EA" w:rsidRDefault="005D24EA" w:rsidP="005D24EA">
      <w:pPr>
        <w:pStyle w:val="Nagwek2"/>
      </w:pPr>
      <w:bookmarkStart w:id="14" w:name="_Hlk56261345"/>
      <w:r w:rsidRPr="005D24EA">
        <w:t>3.1. Ogólne wymagania dotyczące sprzętu</w:t>
      </w:r>
    </w:p>
    <w:p w14:paraId="3A9B8D0F" w14:textId="77777777" w:rsidR="005D24EA" w:rsidRPr="005D24EA" w:rsidRDefault="005D24EA" w:rsidP="005D24EA">
      <w:pPr>
        <w:numPr>
          <w:ilvl w:val="12"/>
          <w:numId w:val="0"/>
        </w:numPr>
        <w:spacing w:before="120" w:after="120" w:line="276" w:lineRule="auto"/>
        <w:ind w:right="-143"/>
        <w:rPr>
          <w:rFonts w:asciiTheme="minorHAnsi" w:hAnsiTheme="minorHAnsi" w:cstheme="minorHAnsi"/>
        </w:rPr>
      </w:pPr>
      <w:bookmarkStart w:id="15" w:name="_Hlk56246670"/>
      <w:bookmarkStart w:id="16" w:name="_Hlk56255024"/>
      <w:bookmarkStart w:id="17" w:name="_Hlk56287900"/>
      <w:r w:rsidRPr="005D24EA">
        <w:rPr>
          <w:rFonts w:asciiTheme="minorHAnsi" w:hAnsiTheme="minorHAnsi" w:cstheme="minorHAnsi"/>
        </w:rPr>
        <w:t>Ogólne wymagania dotyczące sprzętu podano w SST DM-00.00.00 Wymagania ogólne, pkt. 3</w:t>
      </w:r>
      <w:bookmarkEnd w:id="16"/>
      <w:r w:rsidRPr="005D24EA">
        <w:rPr>
          <w:rFonts w:asciiTheme="minorHAnsi" w:hAnsiTheme="minorHAnsi" w:cstheme="minorHAnsi"/>
        </w:rPr>
        <w:t>.</w:t>
      </w:r>
      <w:bookmarkEnd w:id="17"/>
    </w:p>
    <w:p w14:paraId="7C7F41F3" w14:textId="77777777" w:rsidR="005D24EA" w:rsidRPr="005D24EA" w:rsidRDefault="005D24EA" w:rsidP="005D24EA">
      <w:pPr>
        <w:pStyle w:val="Nagwek2"/>
      </w:pPr>
      <w:r w:rsidRPr="005D24EA">
        <w:t xml:space="preserve">3.2. Sprzęt stosowany do wykonania robót </w:t>
      </w:r>
    </w:p>
    <w:bookmarkEnd w:id="14"/>
    <w:bookmarkEnd w:id="15"/>
    <w:p w14:paraId="39120EC0"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Roboty można wykonywać ręcznie przy pomocy drobnego sprzętu z zastosowaniem:</w:t>
      </w:r>
    </w:p>
    <w:p w14:paraId="04CC9ED1" w14:textId="77777777" w:rsidR="005D24EA" w:rsidRPr="005D24EA" w:rsidRDefault="005D24EA" w:rsidP="005D24EA">
      <w:pPr>
        <w:numPr>
          <w:ilvl w:val="0"/>
          <w:numId w:val="70"/>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betoniarek do wytwarzania zapraw oraz przygotowania podsypki cementowo-piaskowej,</w:t>
      </w:r>
    </w:p>
    <w:p w14:paraId="38F55AD8" w14:textId="77777777" w:rsidR="005D24EA" w:rsidRPr="005D24EA" w:rsidRDefault="005D24EA" w:rsidP="005D24EA">
      <w:pPr>
        <w:numPr>
          <w:ilvl w:val="0"/>
          <w:numId w:val="70"/>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wibratorów płytowych, ubijaków ręcznych lub mechanicznych.</w:t>
      </w:r>
    </w:p>
    <w:p w14:paraId="37AADCAC" w14:textId="77777777" w:rsidR="005D24EA" w:rsidRPr="005D24EA" w:rsidRDefault="005D24EA" w:rsidP="005D24EA">
      <w:pPr>
        <w:pStyle w:val="Nagwek1"/>
      </w:pPr>
      <w:r w:rsidRPr="005D24EA">
        <w:t>4. TRANSPORT</w:t>
      </w:r>
    </w:p>
    <w:p w14:paraId="30E081E9" w14:textId="77777777" w:rsidR="005D24EA" w:rsidRPr="005D24EA" w:rsidRDefault="005D24EA" w:rsidP="005D24EA">
      <w:pPr>
        <w:pStyle w:val="Nagwek2"/>
      </w:pPr>
      <w:bookmarkStart w:id="18" w:name="_Hlk56255108"/>
      <w:r w:rsidRPr="005D24EA">
        <w:t>4.1. Ogólne wymagania dotyczące transportu</w:t>
      </w:r>
    </w:p>
    <w:p w14:paraId="2FE48FCD" w14:textId="77777777" w:rsidR="005D24EA" w:rsidRPr="005D24EA" w:rsidRDefault="005D24EA" w:rsidP="005D24EA">
      <w:pPr>
        <w:numPr>
          <w:ilvl w:val="12"/>
          <w:numId w:val="0"/>
        </w:numPr>
        <w:spacing w:before="120" w:after="120" w:line="276" w:lineRule="auto"/>
        <w:rPr>
          <w:rFonts w:asciiTheme="minorHAnsi" w:hAnsiTheme="minorHAnsi" w:cstheme="minorHAnsi"/>
        </w:rPr>
      </w:pPr>
      <w:bookmarkStart w:id="19" w:name="_Hlk56246765"/>
      <w:bookmarkStart w:id="20" w:name="_Hlk56369434"/>
      <w:r w:rsidRPr="005D24EA">
        <w:rPr>
          <w:rFonts w:asciiTheme="minorHAnsi" w:hAnsiTheme="minorHAnsi" w:cstheme="minorHAnsi"/>
        </w:rPr>
        <w:t>Ogólne wymagania dotyczące transportu podano w SST D-M-00.00.00 Wymagania ogólne pkt. 4</w:t>
      </w:r>
      <w:bookmarkEnd w:id="20"/>
      <w:r w:rsidRPr="005D24EA">
        <w:rPr>
          <w:rFonts w:asciiTheme="minorHAnsi" w:hAnsiTheme="minorHAnsi" w:cstheme="minorHAnsi"/>
        </w:rPr>
        <w:t>.</w:t>
      </w:r>
    </w:p>
    <w:p w14:paraId="6E6D823D" w14:textId="77777777" w:rsidR="005D24EA" w:rsidRPr="005D24EA" w:rsidRDefault="005D24EA" w:rsidP="005D24EA">
      <w:pPr>
        <w:pStyle w:val="Nagwek2"/>
      </w:pPr>
      <w:r w:rsidRPr="005D24EA">
        <w:t xml:space="preserve">4.2. Transport materiałów </w:t>
      </w:r>
    </w:p>
    <w:p w14:paraId="7A2A4509" w14:textId="44E9B6DB"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Materiały sypkie można przewozić dowolnymi środkami transportu, w warunkach zabezpieczających je przed  zanieczyszczeniem, zmieszaniem z innymi materiałami i nadmiernym zawilgoceniem. </w:t>
      </w:r>
    </w:p>
    <w:p w14:paraId="42A7533F"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Obrzeża betonowe powinny być zabezpieczone przed przemieszczaniem się i uszkodzeniami w czasie transportu. </w:t>
      </w:r>
    </w:p>
    <w:p w14:paraId="28315DCC"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Warunki transportu materiałów powinny odpowiadać wymaganiom określonym w OST D-08.03.01.</w:t>
      </w:r>
    </w:p>
    <w:p w14:paraId="08E820A6" w14:textId="77777777" w:rsidR="005D24EA" w:rsidRPr="005D24EA" w:rsidRDefault="005D24EA" w:rsidP="005D24EA">
      <w:pPr>
        <w:pStyle w:val="Nagwek1"/>
      </w:pPr>
      <w:bookmarkStart w:id="21" w:name="_Hlk56288155"/>
      <w:bookmarkEnd w:id="18"/>
      <w:bookmarkEnd w:id="19"/>
      <w:r w:rsidRPr="005D24EA">
        <w:lastRenderedPageBreak/>
        <w:t>5. WYKONYWANIE ROBÓT</w:t>
      </w:r>
    </w:p>
    <w:p w14:paraId="4C3922FF" w14:textId="77777777" w:rsidR="005D24EA" w:rsidRPr="005D24EA" w:rsidRDefault="005D24EA" w:rsidP="005D24EA">
      <w:pPr>
        <w:pStyle w:val="Nagwek2"/>
      </w:pPr>
      <w:bookmarkStart w:id="22" w:name="_Hlk56255194"/>
      <w:r w:rsidRPr="005D24EA">
        <w:t>5.1. Ogólne zasady wykonywania robót</w:t>
      </w:r>
    </w:p>
    <w:p w14:paraId="47006E4C" w14:textId="77777777" w:rsidR="005D24EA" w:rsidRPr="005D24EA" w:rsidRDefault="005D24EA" w:rsidP="005D24EA">
      <w:pPr>
        <w:numPr>
          <w:ilvl w:val="12"/>
          <w:numId w:val="0"/>
        </w:numPr>
        <w:spacing w:before="120" w:after="120" w:line="276" w:lineRule="auto"/>
        <w:rPr>
          <w:rFonts w:asciiTheme="minorHAnsi" w:hAnsiTheme="minorHAnsi" w:cstheme="minorHAnsi"/>
        </w:rPr>
      </w:pPr>
      <w:bookmarkStart w:id="23" w:name="_Hlk56246896"/>
      <w:r w:rsidRPr="005D24EA">
        <w:rPr>
          <w:rFonts w:asciiTheme="minorHAnsi" w:hAnsiTheme="minorHAnsi" w:cstheme="minorHAnsi"/>
        </w:rPr>
        <w:t>Ogólne zasady wykonywania robót podano w SST D-M-00.00.00 Wymagania ogólne, pkt. 5. Wszelkie prace należy prowadzić w sposób gwarantujący brak uszkodzeń elementów.</w:t>
      </w:r>
    </w:p>
    <w:p w14:paraId="76943565" w14:textId="35A7E08F"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Wykonawca przystąpi do wykonania prac na polecenie wystawione przez Zamawiającego. Koszt usunięcia ewentualnych uszkodzeń wynikłych w związku z realizacją zleconych prac obciąża Wykonawcę. </w:t>
      </w:r>
    </w:p>
    <w:p w14:paraId="2ED15117"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Wymagania dla oznakowania prac podano w SST D-M-00.00.00. Wymagania ogólne.</w:t>
      </w:r>
    </w:p>
    <w:p w14:paraId="2F209A53" w14:textId="77777777" w:rsidR="005D24EA" w:rsidRPr="005D24EA" w:rsidRDefault="005D24EA" w:rsidP="005D24EA">
      <w:pPr>
        <w:pStyle w:val="Nagwek2"/>
      </w:pPr>
      <w:r w:rsidRPr="005D24EA">
        <w:t xml:space="preserve">5.2. Zasady wykonywania robót </w:t>
      </w:r>
    </w:p>
    <w:p w14:paraId="10CD3A1F"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Sposób wykonania robót powinien być zgodny z dokumentacją projektową i SST. </w:t>
      </w:r>
    </w:p>
    <w:p w14:paraId="2C3B742E" w14:textId="5518DB74"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W przypadku braku wystarczających danych można korzystać z ustaleń podanych w niniejszej specyfikacji. </w:t>
      </w:r>
    </w:p>
    <w:p w14:paraId="7FE4D609"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Podstawowe czynności przy wykonywaniu robót obejmują: </w:t>
      </w:r>
    </w:p>
    <w:p w14:paraId="08F4027F" w14:textId="77777777" w:rsidR="005D24EA" w:rsidRPr="005D24EA" w:rsidRDefault="005D24EA" w:rsidP="005D24EA">
      <w:pPr>
        <w:numPr>
          <w:ilvl w:val="12"/>
          <w:numId w:val="0"/>
        </w:numPr>
        <w:spacing w:line="276" w:lineRule="auto"/>
        <w:ind w:left="284" w:hanging="284"/>
        <w:rPr>
          <w:rFonts w:asciiTheme="minorHAnsi" w:hAnsiTheme="minorHAnsi" w:cstheme="minorHAnsi"/>
        </w:rPr>
      </w:pPr>
      <w:r w:rsidRPr="005D24EA">
        <w:rPr>
          <w:rFonts w:asciiTheme="minorHAnsi" w:hAnsiTheme="minorHAnsi" w:cstheme="minorHAnsi"/>
        </w:rPr>
        <w:t>1.</w:t>
      </w:r>
      <w:r w:rsidRPr="005D24EA">
        <w:rPr>
          <w:rFonts w:asciiTheme="minorHAnsi" w:hAnsiTheme="minorHAnsi" w:cstheme="minorHAnsi"/>
        </w:rPr>
        <w:tab/>
        <w:t xml:space="preserve">roboty przygotowawcze,  </w:t>
      </w:r>
    </w:p>
    <w:p w14:paraId="141072EB" w14:textId="77777777" w:rsidR="005D24EA" w:rsidRPr="005D24EA" w:rsidRDefault="005D24EA" w:rsidP="005D24EA">
      <w:pPr>
        <w:numPr>
          <w:ilvl w:val="12"/>
          <w:numId w:val="0"/>
        </w:numPr>
        <w:spacing w:line="276" w:lineRule="auto"/>
        <w:ind w:left="284" w:hanging="284"/>
        <w:rPr>
          <w:rFonts w:asciiTheme="minorHAnsi" w:hAnsiTheme="minorHAnsi" w:cstheme="minorHAnsi"/>
        </w:rPr>
      </w:pPr>
      <w:r w:rsidRPr="005D24EA">
        <w:rPr>
          <w:rFonts w:asciiTheme="minorHAnsi" w:hAnsiTheme="minorHAnsi" w:cstheme="minorHAnsi"/>
        </w:rPr>
        <w:t>2.</w:t>
      </w:r>
      <w:r w:rsidRPr="005D24EA">
        <w:rPr>
          <w:rFonts w:asciiTheme="minorHAnsi" w:hAnsiTheme="minorHAnsi" w:cstheme="minorHAnsi"/>
        </w:rPr>
        <w:tab/>
        <w:t xml:space="preserve">wykonanie remontu cząstkowego (przestawienia) betonowego obrzeża chodnikowego, </w:t>
      </w:r>
    </w:p>
    <w:p w14:paraId="56155E5D" w14:textId="77777777" w:rsidR="005D24EA" w:rsidRPr="005D24EA" w:rsidRDefault="005D24EA" w:rsidP="005D24EA">
      <w:pPr>
        <w:numPr>
          <w:ilvl w:val="12"/>
          <w:numId w:val="0"/>
        </w:numPr>
        <w:spacing w:line="276" w:lineRule="auto"/>
        <w:ind w:left="284" w:hanging="284"/>
        <w:rPr>
          <w:rFonts w:asciiTheme="minorHAnsi" w:hAnsiTheme="minorHAnsi" w:cstheme="minorHAnsi"/>
        </w:rPr>
      </w:pPr>
      <w:r w:rsidRPr="005D24EA">
        <w:rPr>
          <w:rFonts w:asciiTheme="minorHAnsi" w:hAnsiTheme="minorHAnsi" w:cstheme="minorHAnsi"/>
        </w:rPr>
        <w:t>3.</w:t>
      </w:r>
      <w:r w:rsidRPr="005D24EA">
        <w:rPr>
          <w:rFonts w:asciiTheme="minorHAnsi" w:hAnsiTheme="minorHAnsi" w:cstheme="minorHAnsi"/>
        </w:rPr>
        <w:tab/>
        <w:t xml:space="preserve">roboty wykończeniowe. </w:t>
      </w:r>
    </w:p>
    <w:p w14:paraId="0CD1EA15" w14:textId="77777777" w:rsidR="005D24EA" w:rsidRPr="005D24EA" w:rsidRDefault="005D24EA" w:rsidP="005D24EA">
      <w:pPr>
        <w:pStyle w:val="Nagwek2"/>
      </w:pPr>
      <w:r w:rsidRPr="005D24EA">
        <w:t xml:space="preserve">5.3. Roboty przygotowawcze </w:t>
      </w:r>
    </w:p>
    <w:p w14:paraId="6C0DE85D" w14:textId="045EAB9D"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Przed przystąpieniem do robót należy, na podstawie dokumentacji projektowej, SST lub wskazań Zamawiającego: </w:t>
      </w:r>
    </w:p>
    <w:p w14:paraId="6C983596" w14:textId="77777777" w:rsidR="005D24EA" w:rsidRPr="005D24EA" w:rsidRDefault="005D24EA" w:rsidP="005D24EA">
      <w:pPr>
        <w:numPr>
          <w:ilvl w:val="0"/>
          <w:numId w:val="63"/>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ustalić lokalizację terenu robót, </w:t>
      </w:r>
    </w:p>
    <w:p w14:paraId="264CBACC" w14:textId="77777777" w:rsidR="005D24EA" w:rsidRPr="005D24EA" w:rsidRDefault="005D24EA" w:rsidP="005D24EA">
      <w:pPr>
        <w:numPr>
          <w:ilvl w:val="0"/>
          <w:numId w:val="63"/>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ew. ustalić dane niezbędne do szczegółowego wytyczenia robót oraz ustalenia danych wysokościowych, </w:t>
      </w:r>
    </w:p>
    <w:p w14:paraId="68A6EEF6" w14:textId="77777777" w:rsidR="005D24EA" w:rsidRPr="005D24EA" w:rsidRDefault="005D24EA" w:rsidP="005D24EA">
      <w:pPr>
        <w:numPr>
          <w:ilvl w:val="0"/>
          <w:numId w:val="63"/>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ew. usunąć przeszkody, np. słupki, pachołki, elementy dróg, ogrodzeń itd., </w:t>
      </w:r>
    </w:p>
    <w:p w14:paraId="672A3ED0" w14:textId="77777777" w:rsidR="005D24EA" w:rsidRPr="005D24EA" w:rsidRDefault="005D24EA" w:rsidP="005D24EA">
      <w:pPr>
        <w:numPr>
          <w:ilvl w:val="0"/>
          <w:numId w:val="63"/>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ustalić materiały niezbędne do wykonania robót naprawczych, </w:t>
      </w:r>
    </w:p>
    <w:p w14:paraId="5AB89D88" w14:textId="77777777" w:rsidR="005D24EA" w:rsidRPr="005D24EA" w:rsidRDefault="005D24EA" w:rsidP="005D24EA">
      <w:pPr>
        <w:numPr>
          <w:ilvl w:val="0"/>
          <w:numId w:val="63"/>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ustalić kolejność, sposób i termin wykonania robót. </w:t>
      </w:r>
    </w:p>
    <w:p w14:paraId="778060CA" w14:textId="77777777" w:rsidR="005D24EA" w:rsidRPr="005D24EA" w:rsidRDefault="005D24EA" w:rsidP="005D24EA">
      <w:pPr>
        <w:pStyle w:val="Nagwek2"/>
      </w:pPr>
      <w:r w:rsidRPr="005D24EA">
        <w:t xml:space="preserve">5.4. Przestawienie betonowych obrzeży chodnikowych </w:t>
      </w:r>
    </w:p>
    <w:p w14:paraId="130E254A"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5.4.1. Zasady przestawiania obrzeży </w:t>
      </w:r>
    </w:p>
    <w:p w14:paraId="20B93DC2"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Podstawowe czynności przy przestawianiu obrzeży obejmują: </w:t>
      </w:r>
    </w:p>
    <w:p w14:paraId="7D8305F4" w14:textId="3EEA5B76"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odkopanie zewnętrznej ściany obrzeży z ewentualnym rozebraniem chodnika oraz z odrzuceniem ziemi poza strefę robót, </w:t>
      </w:r>
    </w:p>
    <w:p w14:paraId="2688509C"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wyjęcie obrzeży i odłożenie poza strefę robót, </w:t>
      </w:r>
    </w:p>
    <w:p w14:paraId="56894AF6"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oczyszczenie obrzeży z resztek ziemi względnie z zaprawy cementowej, </w:t>
      </w:r>
    </w:p>
    <w:p w14:paraId="6C0D947C"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uzupełnienie i wyrównanie podsypki piaskowej lub cementowo-piaskowej wraz z jej przygotowaniem (względnie naprawienie ławy), </w:t>
      </w:r>
    </w:p>
    <w:p w14:paraId="60064012"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ustawienie obrzeży, </w:t>
      </w:r>
    </w:p>
    <w:p w14:paraId="6AD4E973"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zasypanie ziemią zewnętrznej strony obrzeży wraz z ubiciem ziemi, </w:t>
      </w:r>
    </w:p>
    <w:p w14:paraId="050CC4BC"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wypełnienie spoin, </w:t>
      </w:r>
    </w:p>
    <w:p w14:paraId="55E41FC3" w14:textId="77777777" w:rsidR="005D24EA" w:rsidRPr="005D24EA" w:rsidRDefault="005D24EA" w:rsidP="005D24EA">
      <w:pPr>
        <w:numPr>
          <w:ilvl w:val="0"/>
          <w:numId w:val="64"/>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roboty końcowe i porządkujące, jak: ew. pielęgnacja spoin obrzeży, ułożenie rozebranego chodnika, wyrównanie trawnika itp. </w:t>
      </w:r>
    </w:p>
    <w:p w14:paraId="2BA34FE9"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p>
    <w:p w14:paraId="333D6FD8"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5.4.2. Roboty rozbiórkowe </w:t>
      </w:r>
    </w:p>
    <w:p w14:paraId="56F86EE9"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Zakres remontu obrzeża powinien dotyczyć całego obszaru uszkodzonych elementów oraz części do niego przylegających. </w:t>
      </w:r>
    </w:p>
    <w:p w14:paraId="13C3B863"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Przy wyznaczaniu zakresu remontu należy uwzględnić potrzeby prowadzenia ruchu pieszego, zwłaszcza jeśli wymagana jest rozbiórka  części chodnika, przylegająca do obrzeża.</w:t>
      </w:r>
    </w:p>
    <w:p w14:paraId="56857C57" w14:textId="2A79D2DA"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lastRenderedPageBreak/>
        <w:t>Powierzchnię przeznaczoną do wykonania remontu akceptuje Zamawiając</w:t>
      </w:r>
      <w:r>
        <w:rPr>
          <w:rFonts w:asciiTheme="minorHAnsi" w:hAnsiTheme="minorHAnsi" w:cstheme="minorHAnsi"/>
        </w:rPr>
        <w:t>y</w:t>
      </w:r>
      <w:r w:rsidRPr="005D24EA">
        <w:rPr>
          <w:rFonts w:asciiTheme="minorHAnsi" w:hAnsiTheme="minorHAnsi" w:cstheme="minorHAnsi"/>
        </w:rPr>
        <w:t xml:space="preserve">. </w:t>
      </w:r>
    </w:p>
    <w:p w14:paraId="59FFEF4B"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Odkopanie zewnętrznej ściany obrzeża i wyjęcie elementów obrzeża można przeprowadzić ręcznie przy pomocy prostych narzędzi pomocniczych jak: łopat, szpadli, oskardów, drągów stalowych itp. Ewentualne roboty remontowe chodnika z płyt betonowych można wykonać zgodnie z wymaganiami OST D-08.02.01a. </w:t>
      </w:r>
    </w:p>
    <w:p w14:paraId="4A8BFA58"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Obrzeża otrzymane z rozbiórki, nadające się do ponownego wbudowania, należy dokładnie oczyścić, posortować i składować w miejscach nie kolidujących z wykonywaniem robót. </w:t>
      </w:r>
    </w:p>
    <w:p w14:paraId="770FE399"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Po usunięciu obrzeży sprawdza się stan podsypki i ewentualnie ław. Stwardniałą starą podsypkę cementowo-piaskową usuwa się całkowicie. Natomiast starą podsypkę piaskową lub naturalne podłoże piaszczyste, w zależności od stanu, albo pozostawia się, albo usuwa się zanieczyszczoną górną warstwę. </w:t>
      </w:r>
    </w:p>
    <w:p w14:paraId="379B586C"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5.4.3. Ewentualna naprawa ław </w:t>
      </w:r>
    </w:p>
    <w:p w14:paraId="55E59600" w14:textId="63B864BA" w:rsid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W przypadku istnienia ław, należy zbadać ewentualne ich uszkodzenia i usunąć je w sposób właściwy dla rodzaju konstrukcji i materiału. W przypadku ław żwirowych, należy w miejscach uszkodzonych zasypać koryto żwirem </w:t>
      </w:r>
      <w:r>
        <w:rPr>
          <w:rFonts w:asciiTheme="minorHAnsi" w:hAnsiTheme="minorHAnsi" w:cstheme="minorHAnsi"/>
        </w:rPr>
        <w:br/>
      </w:r>
      <w:r w:rsidRPr="005D24EA">
        <w:rPr>
          <w:rFonts w:asciiTheme="minorHAnsi" w:hAnsiTheme="minorHAnsi" w:cstheme="minorHAnsi"/>
        </w:rPr>
        <w:t xml:space="preserve">i zagęścić z polewaniem wodą.  </w:t>
      </w:r>
    </w:p>
    <w:p w14:paraId="5D9BFA2E" w14:textId="33FD0E89"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W przypadkach szczególnych, przy doraźnym prowadzeniu naprawy ławy można, po akceptacji Zamawiającego, wyrównać ją chudym betonem o zawartości np. od 160 do 180 kg cementu na 1 m</w:t>
      </w:r>
      <w:r w:rsidRPr="005D24EA">
        <w:rPr>
          <w:rFonts w:asciiTheme="minorHAnsi" w:hAnsiTheme="minorHAnsi" w:cstheme="minorHAnsi"/>
          <w:vertAlign w:val="superscript"/>
        </w:rPr>
        <w:t>3</w:t>
      </w:r>
      <w:r w:rsidRPr="005D24EA">
        <w:rPr>
          <w:rFonts w:asciiTheme="minorHAnsi" w:hAnsiTheme="minorHAnsi" w:cstheme="minorHAnsi"/>
        </w:rPr>
        <w:t xml:space="preserve"> betonu. </w:t>
      </w:r>
    </w:p>
    <w:p w14:paraId="43D99379"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5.4.4. Koryto </w:t>
      </w:r>
    </w:p>
    <w:p w14:paraId="0CFB5DDB"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Koryto pod podsypkę należy wykonywać zgodnie z PN-B-06050. Wymiary wykopu powinny odpowiadać wymiarom ławy w planie. Wskaźnik zagęszczenia gruntu w korycie powinien wynosić, co najmniej, </w:t>
      </w:r>
      <w:proofErr w:type="spellStart"/>
      <w:r w:rsidRPr="005D24EA">
        <w:rPr>
          <w:rFonts w:asciiTheme="minorHAnsi" w:hAnsiTheme="minorHAnsi" w:cstheme="minorHAnsi"/>
        </w:rPr>
        <w:t>Is</w:t>
      </w:r>
      <w:proofErr w:type="spellEnd"/>
      <w:r w:rsidRPr="005D24EA">
        <w:rPr>
          <w:rFonts w:asciiTheme="minorHAnsi" w:hAnsiTheme="minorHAnsi" w:cstheme="minorHAnsi"/>
        </w:rPr>
        <w:sym w:font="Symbol" w:char="F0B3"/>
      </w:r>
      <w:r w:rsidRPr="005D24EA">
        <w:rPr>
          <w:rFonts w:asciiTheme="minorHAnsi" w:hAnsiTheme="minorHAnsi" w:cstheme="minorHAnsi"/>
        </w:rPr>
        <w:t xml:space="preserve">0,97. </w:t>
      </w:r>
    </w:p>
    <w:p w14:paraId="224C4652"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5.4.4. Podsypka pod obrzeże </w:t>
      </w:r>
    </w:p>
    <w:p w14:paraId="63326E43"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W wykonanym korycie należy rozścielić podsypkę cementowo-piaskową, o grubości przewidzianej w dokumentacji projektowej, dla osadzenia obrzeży.</w:t>
      </w:r>
    </w:p>
    <w:p w14:paraId="20BCDC34"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Podsypkę piaskową lub naturalne podłoże piaszczyste pod obrzeże należy, albo: </w:t>
      </w:r>
    </w:p>
    <w:p w14:paraId="085884E5" w14:textId="77777777" w:rsidR="005D24EA" w:rsidRPr="005D24EA" w:rsidRDefault="005D24EA" w:rsidP="005D24EA">
      <w:pPr>
        <w:numPr>
          <w:ilvl w:val="0"/>
          <w:numId w:val="65"/>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spulchnić w przypadku pozostawienia przy rozbiórce, albo </w:t>
      </w:r>
    </w:p>
    <w:p w14:paraId="46EEFC0A" w14:textId="0E2364E1" w:rsidR="005D24EA" w:rsidRPr="005D24EA" w:rsidRDefault="005D24EA" w:rsidP="005D24EA">
      <w:pPr>
        <w:numPr>
          <w:ilvl w:val="0"/>
          <w:numId w:val="65"/>
        </w:numPr>
        <w:overflowPunct/>
        <w:autoSpaceDE/>
        <w:autoSpaceDN/>
        <w:adjustRightInd/>
        <w:spacing w:line="276" w:lineRule="auto"/>
        <w:ind w:left="284" w:hanging="284"/>
        <w:textAlignment w:val="auto"/>
        <w:rPr>
          <w:rFonts w:asciiTheme="minorHAnsi" w:hAnsiTheme="minorHAnsi" w:cstheme="minorHAnsi"/>
        </w:rPr>
      </w:pPr>
      <w:r w:rsidRPr="005D24EA">
        <w:rPr>
          <w:rFonts w:asciiTheme="minorHAnsi" w:hAnsiTheme="minorHAnsi" w:cstheme="minorHAnsi"/>
        </w:rPr>
        <w:t xml:space="preserve">uzupełnić piaskiem, w przypadku usunięcia zanieczyszczonej górnej starej warstwy, a następnie ubić. </w:t>
      </w:r>
    </w:p>
    <w:p w14:paraId="5947E3F9"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5.4.5. Ustawienie obrzeża </w:t>
      </w:r>
    </w:p>
    <w:p w14:paraId="3601A737"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Do remontu należy użyć, w największym zakresie, obrzeża otrzymane z rozbiórki, nadające się do ponownego wbudowania. Obrzeża uszkodzone lub zniszczone należy zastąpić nowym uzupełnionym materiałem, odpowiadającym wymaganiom punktu 2.2.2. </w:t>
      </w:r>
    </w:p>
    <w:p w14:paraId="7878C810"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Niweleta górnej powierzchni obrzeża powinna być dostosowana do warunków sprzed rozbiórki. </w:t>
      </w:r>
    </w:p>
    <w:p w14:paraId="4C9FFAE8"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Zewnętrzna ściana obrzeża, od strony chodnika lub trawnika, powinna być po ustawieniu obrzeża obsypana miejscowym gruntem przepuszczalnym, piaskiem lub żwirem, starannie ubitym. Wykorzystanie innego miejscowego gruntu do zasypki wymaga akceptacji Przedstawiciela Zamawiającego. </w:t>
      </w:r>
    </w:p>
    <w:p w14:paraId="3069821B" w14:textId="77777777" w:rsidR="005D24EA" w:rsidRPr="005D24EA" w:rsidRDefault="005D24EA" w:rsidP="005D24EA">
      <w:pPr>
        <w:numPr>
          <w:ilvl w:val="12"/>
          <w:numId w:val="0"/>
        </w:numPr>
        <w:spacing w:before="120" w:after="120" w:line="276" w:lineRule="auto"/>
        <w:rPr>
          <w:rFonts w:asciiTheme="minorHAnsi" w:hAnsiTheme="minorHAnsi" w:cstheme="minorHAnsi"/>
          <w:u w:val="single"/>
        </w:rPr>
      </w:pPr>
      <w:r w:rsidRPr="005D24EA">
        <w:rPr>
          <w:rFonts w:asciiTheme="minorHAnsi" w:hAnsiTheme="minorHAnsi" w:cstheme="minorHAnsi"/>
          <w:u w:val="single"/>
        </w:rPr>
        <w:t xml:space="preserve">5.4.6. Wypełnienie spoin </w:t>
      </w:r>
    </w:p>
    <w:p w14:paraId="5AB107E5"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Spoiny obrzeży nie powinny przekraczać szerokości 0,5 cm. Spoiny należy wypełnić materiałem podobnym do materiału użytego przed remontem, np. piaskiem lub zaprawą cementowo-piaskową (1:2). </w:t>
      </w:r>
    </w:p>
    <w:p w14:paraId="5488BDF9"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Spoiny obrzeży przed zalaniem zaprawą należy oczyścić i zmyć wodą.  Pielęgnację spoin wypełnionych zaprawą należy wykonać przez polewanie ich wodą. </w:t>
      </w:r>
    </w:p>
    <w:p w14:paraId="1CECD4DF"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Zasady wypełnienia spoin powinny odpowiadać wymaganiom OST D-08.03.01.</w:t>
      </w:r>
    </w:p>
    <w:p w14:paraId="44AF3991" w14:textId="77777777" w:rsidR="005D24EA" w:rsidRPr="005D24EA" w:rsidRDefault="005D24EA" w:rsidP="005D24EA">
      <w:pPr>
        <w:pStyle w:val="Nagwek2"/>
      </w:pPr>
      <w:r w:rsidRPr="005D24EA">
        <w:lastRenderedPageBreak/>
        <w:t xml:space="preserve">5.5. Roboty wykończeniowe </w:t>
      </w:r>
    </w:p>
    <w:p w14:paraId="11403F41" w14:textId="77777777" w:rsidR="005D24EA" w:rsidRPr="005D24EA" w:rsidRDefault="005D24EA" w:rsidP="005D24EA">
      <w:pPr>
        <w:numPr>
          <w:ilvl w:val="12"/>
          <w:numId w:val="0"/>
        </w:numPr>
        <w:spacing w:before="120" w:after="120" w:line="276" w:lineRule="auto"/>
        <w:rPr>
          <w:rFonts w:asciiTheme="minorHAnsi" w:hAnsiTheme="minorHAnsi" w:cstheme="minorHAnsi"/>
        </w:rPr>
      </w:pPr>
      <w:r w:rsidRPr="005D24EA">
        <w:rPr>
          <w:rFonts w:asciiTheme="minorHAnsi" w:hAnsiTheme="minorHAnsi" w:cstheme="minorHAnsi"/>
        </w:rPr>
        <w:t xml:space="preserve">Roboty wykończeniowe powinny być zgodne z dokumentacją projektową i SST. Do robót wykończeniowych należą prace związane z dostosowaniem wykonanych robót do istniejących warunków terenowych, takie jak: </w:t>
      </w:r>
    </w:p>
    <w:p w14:paraId="68C75057" w14:textId="379C39B1" w:rsidR="005D24EA" w:rsidRPr="005D24EA" w:rsidRDefault="005D24EA" w:rsidP="005D24EA">
      <w:pPr>
        <w:overflowPunct/>
        <w:autoSpaceDE/>
        <w:autoSpaceDN/>
        <w:adjustRightInd/>
        <w:spacing w:line="276" w:lineRule="auto"/>
        <w:textAlignment w:val="auto"/>
        <w:rPr>
          <w:rFonts w:asciiTheme="minorHAnsi" w:hAnsiTheme="minorHAnsi" w:cstheme="minorHAnsi"/>
        </w:rPr>
      </w:pPr>
      <w:r>
        <w:rPr>
          <w:rFonts w:asciiTheme="minorHAnsi" w:hAnsiTheme="minorHAnsi" w:cstheme="minorHAnsi"/>
        </w:rPr>
        <w:t xml:space="preserve">- </w:t>
      </w:r>
      <w:r w:rsidRPr="005D24EA">
        <w:rPr>
          <w:rFonts w:asciiTheme="minorHAnsi" w:hAnsiTheme="minorHAnsi" w:cstheme="minorHAnsi"/>
        </w:rPr>
        <w:t xml:space="preserve">odtworzenie elementów czasowo usuniętych, np. ułożenie rozebranego chodnika, wyrównanie terenu pod trawnik przy obrzeżu, </w:t>
      </w:r>
    </w:p>
    <w:p w14:paraId="41620E7E" w14:textId="58D946AE" w:rsidR="005D24EA" w:rsidRPr="005D24EA" w:rsidRDefault="005D24EA" w:rsidP="005D24EA">
      <w:pPr>
        <w:overflowPunct/>
        <w:autoSpaceDE/>
        <w:autoSpaceDN/>
        <w:adjustRightInd/>
        <w:spacing w:line="276" w:lineRule="auto"/>
        <w:textAlignment w:val="auto"/>
        <w:rPr>
          <w:rFonts w:asciiTheme="minorHAnsi" w:hAnsiTheme="minorHAnsi" w:cstheme="minorHAnsi"/>
        </w:rPr>
      </w:pPr>
      <w:r>
        <w:rPr>
          <w:rFonts w:asciiTheme="minorHAnsi" w:hAnsiTheme="minorHAnsi" w:cstheme="minorHAnsi"/>
        </w:rPr>
        <w:t xml:space="preserve">- </w:t>
      </w:r>
      <w:r w:rsidRPr="005D24EA">
        <w:rPr>
          <w:rFonts w:asciiTheme="minorHAnsi" w:hAnsiTheme="minorHAnsi" w:cstheme="minorHAnsi"/>
        </w:rPr>
        <w:t>roboty porządkujące otoczenie terenu robót.</w:t>
      </w:r>
    </w:p>
    <w:p w14:paraId="69D2DF66" w14:textId="77777777" w:rsidR="005D24EA" w:rsidRPr="005D24EA" w:rsidRDefault="005D24EA" w:rsidP="005D24EA">
      <w:pPr>
        <w:pStyle w:val="Nagwek1"/>
      </w:pPr>
      <w:bookmarkStart w:id="24" w:name="_Hlk56286143"/>
      <w:bookmarkEnd w:id="21"/>
      <w:bookmarkEnd w:id="22"/>
      <w:bookmarkEnd w:id="23"/>
      <w:r w:rsidRPr="005D24EA">
        <w:t>6. KONTROLA JAKOŚCI ROBÓT</w:t>
      </w:r>
    </w:p>
    <w:p w14:paraId="59D12DE9" w14:textId="77777777" w:rsidR="005D24EA" w:rsidRPr="005D24EA" w:rsidRDefault="005D24EA" w:rsidP="005D24EA">
      <w:pPr>
        <w:pStyle w:val="Nagwek2"/>
      </w:pPr>
      <w:bookmarkStart w:id="25" w:name="_Hlk56255868"/>
      <w:r w:rsidRPr="005D24EA">
        <w:t>6.1. Ogólne zasady kontroli jakości robót</w:t>
      </w:r>
    </w:p>
    <w:p w14:paraId="48DB2606" w14:textId="77777777" w:rsidR="005D24EA" w:rsidRPr="005D24EA" w:rsidRDefault="005D24EA" w:rsidP="005D24EA">
      <w:pPr>
        <w:spacing w:before="120" w:after="120" w:line="276" w:lineRule="auto"/>
        <w:rPr>
          <w:rFonts w:asciiTheme="minorHAnsi" w:hAnsiTheme="minorHAnsi" w:cstheme="minorHAnsi"/>
        </w:rPr>
      </w:pPr>
      <w:bookmarkStart w:id="26" w:name="_Hlk56247424"/>
      <w:bookmarkStart w:id="27" w:name="_Hlk56288451"/>
      <w:r w:rsidRPr="005D24EA">
        <w:rPr>
          <w:rFonts w:asciiTheme="minorHAnsi" w:hAnsiTheme="minorHAnsi" w:cstheme="minorHAnsi"/>
        </w:rPr>
        <w:t xml:space="preserve">Ogólne zasady kontroli jakości robót podano w SST D-M-00.00.00 Wymagania ogólne </w:t>
      </w:r>
      <w:r w:rsidRPr="005D24EA">
        <w:rPr>
          <w:rFonts w:asciiTheme="minorHAnsi" w:hAnsiTheme="minorHAnsi" w:cstheme="minorHAnsi"/>
        </w:rPr>
        <w:br/>
        <w:t>pkt. 6</w:t>
      </w:r>
      <w:bookmarkEnd w:id="26"/>
      <w:r w:rsidRPr="005D24EA">
        <w:rPr>
          <w:rFonts w:asciiTheme="minorHAnsi" w:hAnsiTheme="minorHAnsi" w:cstheme="minorHAnsi"/>
        </w:rPr>
        <w:t>.</w:t>
      </w:r>
    </w:p>
    <w:p w14:paraId="1A4EA0FA" w14:textId="77777777" w:rsidR="005D24EA" w:rsidRPr="005D24EA" w:rsidRDefault="005D24EA" w:rsidP="005D24EA">
      <w:pPr>
        <w:pStyle w:val="Nagwek2"/>
      </w:pPr>
      <w:r w:rsidRPr="005D24EA">
        <w:t xml:space="preserve">6.2. Badania przed przystąpieniem do robót  </w:t>
      </w:r>
      <w:r w:rsidRPr="005D24EA">
        <w:tab/>
      </w:r>
    </w:p>
    <w:p w14:paraId="558266C5"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Przed przystąpieniem do robót Wykonawca powinien: </w:t>
      </w:r>
    </w:p>
    <w:p w14:paraId="06AD6624" w14:textId="2392DFD0" w:rsidR="005D24EA" w:rsidRPr="005D24EA" w:rsidRDefault="005D24EA" w:rsidP="005D24EA">
      <w:pPr>
        <w:overflowPunct/>
        <w:autoSpaceDE/>
        <w:autoSpaceDN/>
        <w:adjustRightInd/>
        <w:spacing w:line="276" w:lineRule="auto"/>
        <w:textAlignment w:val="auto"/>
        <w:rPr>
          <w:rFonts w:asciiTheme="minorHAnsi" w:hAnsiTheme="minorHAnsi" w:cstheme="minorHAnsi"/>
        </w:rPr>
      </w:pPr>
      <w:r>
        <w:rPr>
          <w:rFonts w:asciiTheme="minorHAnsi" w:hAnsiTheme="minorHAnsi" w:cstheme="minorHAnsi"/>
        </w:rPr>
        <w:t xml:space="preserve">- </w:t>
      </w:r>
      <w:r w:rsidRPr="005D24EA">
        <w:rPr>
          <w:rFonts w:asciiTheme="minorHAnsi" w:hAnsiTheme="minorHAnsi" w:cstheme="minorHAnsi"/>
        </w:rPr>
        <w:t xml:space="preserve">uzyskać wymagane dokumenty, dopuszczające wyroby budowlane do obrotu </w:t>
      </w:r>
      <w:r w:rsidRPr="005D24EA">
        <w:rPr>
          <w:rFonts w:asciiTheme="minorHAnsi" w:hAnsiTheme="minorHAnsi" w:cstheme="minorHAnsi"/>
        </w:rPr>
        <w:br/>
        <w:t xml:space="preserve">i powszechnego stosowania (aprobaty techniczne, certyfikaty zgodności, deklaracje zgodności, ew. badania materiałów wykonane przez dostawców itp.), </w:t>
      </w:r>
    </w:p>
    <w:p w14:paraId="45342CFF" w14:textId="3CC71764" w:rsidR="005D24EA" w:rsidRPr="005D24EA" w:rsidRDefault="005D24EA" w:rsidP="005D24EA">
      <w:pPr>
        <w:overflowPunct/>
        <w:autoSpaceDE/>
        <w:autoSpaceDN/>
        <w:adjustRightInd/>
        <w:spacing w:line="276" w:lineRule="auto"/>
        <w:textAlignment w:val="auto"/>
        <w:rPr>
          <w:rFonts w:asciiTheme="minorHAnsi" w:hAnsiTheme="minorHAnsi" w:cstheme="minorHAnsi"/>
        </w:rPr>
      </w:pPr>
      <w:r>
        <w:rPr>
          <w:rFonts w:asciiTheme="minorHAnsi" w:hAnsiTheme="minorHAnsi" w:cstheme="minorHAnsi"/>
        </w:rPr>
        <w:t xml:space="preserve">- </w:t>
      </w:r>
      <w:r w:rsidRPr="005D24EA">
        <w:rPr>
          <w:rFonts w:asciiTheme="minorHAnsi" w:hAnsiTheme="minorHAnsi" w:cstheme="minorHAnsi"/>
        </w:rPr>
        <w:t xml:space="preserve">wykonać badania właściwości materiałów przeznaczonych do wykonania robót, określone przez Przedstawiciela Zamawiającego, </w:t>
      </w:r>
    </w:p>
    <w:p w14:paraId="7DAF1C22" w14:textId="700FB505" w:rsidR="005D24EA" w:rsidRPr="005D24EA" w:rsidRDefault="005D24EA" w:rsidP="005D24EA">
      <w:pPr>
        <w:overflowPunct/>
        <w:autoSpaceDE/>
        <w:autoSpaceDN/>
        <w:adjustRightInd/>
        <w:spacing w:line="276" w:lineRule="auto"/>
        <w:textAlignment w:val="auto"/>
        <w:rPr>
          <w:rFonts w:asciiTheme="minorHAnsi" w:hAnsiTheme="minorHAnsi" w:cstheme="minorHAnsi"/>
        </w:rPr>
      </w:pPr>
      <w:r>
        <w:rPr>
          <w:rFonts w:asciiTheme="minorHAnsi" w:hAnsiTheme="minorHAnsi" w:cstheme="minorHAnsi"/>
        </w:rPr>
        <w:t xml:space="preserve">- </w:t>
      </w:r>
      <w:r w:rsidRPr="005D24EA">
        <w:rPr>
          <w:rFonts w:asciiTheme="minorHAnsi" w:hAnsiTheme="minorHAnsi" w:cstheme="minorHAnsi"/>
        </w:rPr>
        <w:t xml:space="preserve">sprawdzić cechy zewnętrzne gotowych materiałów prefabrykowanych. </w:t>
      </w:r>
    </w:p>
    <w:p w14:paraId="41D73AF7"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Wszystkie dokumenty oraz wyniki badań Wykonawca przedstawia Przedstawiciel Zamawiającego do akceptacji. </w:t>
      </w:r>
    </w:p>
    <w:p w14:paraId="78FDDDE2" w14:textId="77777777" w:rsidR="005D24EA" w:rsidRPr="005D24EA" w:rsidRDefault="005D24EA" w:rsidP="005D24EA">
      <w:pPr>
        <w:pStyle w:val="Nagwek2"/>
      </w:pPr>
      <w:r w:rsidRPr="005D24EA">
        <w:t xml:space="preserve">6.3. Badania w czasie robót </w:t>
      </w:r>
    </w:p>
    <w:p w14:paraId="3E36243B"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Częstotliwość oraz zakres badań i pomiarów, które należy wykonać w czasie robót  podaje tablica 1. </w:t>
      </w:r>
    </w:p>
    <w:p w14:paraId="3E18D276"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b/>
          <w:bCs/>
        </w:rPr>
        <w:t>Tablica 1.</w:t>
      </w:r>
      <w:r w:rsidRPr="005D24EA">
        <w:rPr>
          <w:rFonts w:asciiTheme="minorHAnsi" w:hAnsiTheme="minorHAnsi" w:cstheme="minorHAnsi"/>
        </w:rPr>
        <w:t xml:space="preserve"> Częstotliwość oraz zakres badań i pomiarów w czasie robót</w:t>
      </w:r>
    </w:p>
    <w:tbl>
      <w:tblPr>
        <w:tblW w:w="7583" w:type="dxa"/>
        <w:jc w:val="center"/>
        <w:tblCellMar>
          <w:top w:w="77" w:type="dxa"/>
          <w:left w:w="70" w:type="dxa"/>
          <w:right w:w="33" w:type="dxa"/>
        </w:tblCellMar>
        <w:tblLook w:val="04A0" w:firstRow="1" w:lastRow="0" w:firstColumn="1" w:lastColumn="0" w:noHBand="0" w:noVBand="1"/>
      </w:tblPr>
      <w:tblGrid>
        <w:gridCol w:w="497"/>
        <w:gridCol w:w="3542"/>
        <w:gridCol w:w="1275"/>
        <w:gridCol w:w="2269"/>
      </w:tblGrid>
      <w:tr w:rsidR="005D24EA" w:rsidRPr="005D24EA" w14:paraId="2D0BFE58" w14:textId="77777777" w:rsidTr="00694D4D">
        <w:trPr>
          <w:trHeight w:val="622"/>
          <w:jc w:val="center"/>
        </w:trPr>
        <w:tc>
          <w:tcPr>
            <w:tcW w:w="497" w:type="dxa"/>
            <w:tcBorders>
              <w:top w:val="single" w:sz="6" w:space="0" w:color="000000"/>
              <w:left w:val="single" w:sz="6" w:space="0" w:color="000000"/>
              <w:bottom w:val="double" w:sz="6" w:space="0" w:color="000000"/>
              <w:right w:val="single" w:sz="6" w:space="0" w:color="000000"/>
            </w:tcBorders>
            <w:vAlign w:val="center"/>
          </w:tcPr>
          <w:p w14:paraId="594EC957" w14:textId="77777777" w:rsidR="005D24EA" w:rsidRPr="005D24EA" w:rsidRDefault="005D24EA" w:rsidP="00694D4D">
            <w:pPr>
              <w:spacing w:line="259" w:lineRule="auto"/>
              <w:ind w:left="41"/>
              <w:jc w:val="center"/>
              <w:rPr>
                <w:rFonts w:asciiTheme="minorHAnsi" w:hAnsiTheme="minorHAnsi" w:cstheme="minorHAnsi"/>
                <w:sz w:val="18"/>
                <w:szCs w:val="18"/>
              </w:rPr>
            </w:pPr>
            <w:r w:rsidRPr="005D24EA">
              <w:rPr>
                <w:rFonts w:asciiTheme="minorHAnsi" w:hAnsiTheme="minorHAnsi" w:cstheme="minorHAnsi"/>
                <w:sz w:val="18"/>
                <w:szCs w:val="18"/>
              </w:rPr>
              <w:t>Lp.</w:t>
            </w:r>
          </w:p>
        </w:tc>
        <w:tc>
          <w:tcPr>
            <w:tcW w:w="3543" w:type="dxa"/>
            <w:tcBorders>
              <w:top w:val="single" w:sz="6" w:space="0" w:color="000000"/>
              <w:left w:val="single" w:sz="6" w:space="0" w:color="000000"/>
              <w:bottom w:val="double" w:sz="6" w:space="0" w:color="000000"/>
              <w:right w:val="single" w:sz="6" w:space="0" w:color="000000"/>
            </w:tcBorders>
            <w:vAlign w:val="center"/>
          </w:tcPr>
          <w:p w14:paraId="3E8EEB98" w14:textId="77777777" w:rsidR="005D24EA" w:rsidRPr="005D24EA" w:rsidRDefault="005D24EA" w:rsidP="00694D4D">
            <w:pPr>
              <w:spacing w:line="259" w:lineRule="auto"/>
              <w:ind w:right="41"/>
              <w:jc w:val="center"/>
              <w:rPr>
                <w:rFonts w:asciiTheme="minorHAnsi" w:hAnsiTheme="minorHAnsi" w:cstheme="minorHAnsi"/>
                <w:sz w:val="18"/>
                <w:szCs w:val="18"/>
              </w:rPr>
            </w:pPr>
            <w:r w:rsidRPr="005D24EA">
              <w:rPr>
                <w:rFonts w:asciiTheme="minorHAnsi" w:hAnsiTheme="minorHAnsi" w:cstheme="minorHAnsi"/>
                <w:sz w:val="18"/>
                <w:szCs w:val="18"/>
              </w:rPr>
              <w:t>Wyszczególnienie robót</w:t>
            </w:r>
          </w:p>
        </w:tc>
        <w:tc>
          <w:tcPr>
            <w:tcW w:w="1275" w:type="dxa"/>
            <w:tcBorders>
              <w:top w:val="single" w:sz="6" w:space="0" w:color="000000"/>
              <w:left w:val="single" w:sz="6" w:space="0" w:color="000000"/>
              <w:bottom w:val="double" w:sz="6" w:space="0" w:color="000000"/>
              <w:right w:val="single" w:sz="6" w:space="0" w:color="000000"/>
            </w:tcBorders>
          </w:tcPr>
          <w:p w14:paraId="0BF0E9A8" w14:textId="77777777" w:rsidR="005D24EA" w:rsidRPr="005D24EA" w:rsidRDefault="005D24EA" w:rsidP="00694D4D">
            <w:pPr>
              <w:spacing w:line="259" w:lineRule="auto"/>
              <w:jc w:val="center"/>
              <w:rPr>
                <w:rFonts w:asciiTheme="minorHAnsi" w:hAnsiTheme="minorHAnsi" w:cstheme="minorHAnsi"/>
                <w:sz w:val="18"/>
                <w:szCs w:val="18"/>
              </w:rPr>
            </w:pPr>
            <w:r w:rsidRPr="005D24EA">
              <w:rPr>
                <w:rFonts w:asciiTheme="minorHAnsi" w:hAnsiTheme="minorHAnsi" w:cstheme="minorHAnsi"/>
                <w:sz w:val="18"/>
                <w:szCs w:val="18"/>
              </w:rPr>
              <w:t>Częstotliwość badań</w:t>
            </w:r>
          </w:p>
        </w:tc>
        <w:tc>
          <w:tcPr>
            <w:tcW w:w="2269" w:type="dxa"/>
            <w:tcBorders>
              <w:top w:val="single" w:sz="6" w:space="0" w:color="000000"/>
              <w:left w:val="single" w:sz="6" w:space="0" w:color="000000"/>
              <w:bottom w:val="double" w:sz="6" w:space="0" w:color="000000"/>
              <w:right w:val="single" w:sz="6" w:space="0" w:color="000000"/>
            </w:tcBorders>
            <w:vAlign w:val="center"/>
          </w:tcPr>
          <w:p w14:paraId="344097CA" w14:textId="77777777" w:rsidR="005D24EA" w:rsidRPr="005D24EA" w:rsidRDefault="005D24EA" w:rsidP="00694D4D">
            <w:pPr>
              <w:spacing w:line="259" w:lineRule="auto"/>
              <w:ind w:right="42"/>
              <w:jc w:val="center"/>
              <w:rPr>
                <w:rFonts w:asciiTheme="minorHAnsi" w:hAnsiTheme="minorHAnsi" w:cstheme="minorHAnsi"/>
                <w:sz w:val="18"/>
                <w:szCs w:val="18"/>
              </w:rPr>
            </w:pPr>
            <w:r w:rsidRPr="005D24EA">
              <w:rPr>
                <w:rFonts w:asciiTheme="minorHAnsi" w:hAnsiTheme="minorHAnsi" w:cstheme="minorHAnsi"/>
                <w:sz w:val="18"/>
                <w:szCs w:val="18"/>
              </w:rPr>
              <w:t>Wartości dopuszczalne</w:t>
            </w:r>
          </w:p>
        </w:tc>
      </w:tr>
      <w:tr w:rsidR="005D24EA" w:rsidRPr="005D24EA" w14:paraId="76EAD7A0" w14:textId="77777777" w:rsidTr="00694D4D">
        <w:trPr>
          <w:trHeight w:val="386"/>
          <w:jc w:val="center"/>
        </w:trPr>
        <w:tc>
          <w:tcPr>
            <w:tcW w:w="497" w:type="dxa"/>
            <w:tcBorders>
              <w:top w:val="double" w:sz="6" w:space="0" w:color="000000"/>
              <w:left w:val="single" w:sz="6" w:space="0" w:color="000000"/>
              <w:bottom w:val="single" w:sz="6" w:space="0" w:color="000000"/>
              <w:right w:val="single" w:sz="6" w:space="0" w:color="000000"/>
            </w:tcBorders>
          </w:tcPr>
          <w:p w14:paraId="40294744"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1</w:t>
            </w:r>
          </w:p>
        </w:tc>
        <w:tc>
          <w:tcPr>
            <w:tcW w:w="3543" w:type="dxa"/>
            <w:tcBorders>
              <w:top w:val="double" w:sz="6" w:space="0" w:color="000000"/>
              <w:left w:val="single" w:sz="6" w:space="0" w:color="000000"/>
              <w:bottom w:val="single" w:sz="6" w:space="0" w:color="000000"/>
              <w:right w:val="single" w:sz="6" w:space="0" w:color="000000"/>
            </w:tcBorders>
          </w:tcPr>
          <w:p w14:paraId="0A9FD89E" w14:textId="77777777" w:rsidR="005D24EA" w:rsidRPr="005D24EA" w:rsidRDefault="005D24EA" w:rsidP="00694D4D">
            <w:pPr>
              <w:spacing w:line="259" w:lineRule="auto"/>
              <w:jc w:val="center"/>
              <w:rPr>
                <w:rFonts w:asciiTheme="minorHAnsi" w:hAnsiTheme="minorHAnsi" w:cstheme="minorHAnsi"/>
                <w:sz w:val="18"/>
                <w:szCs w:val="18"/>
              </w:rPr>
            </w:pPr>
            <w:r w:rsidRPr="005D24EA">
              <w:rPr>
                <w:rFonts w:asciiTheme="minorHAnsi" w:hAnsiTheme="minorHAnsi" w:cstheme="minorHAnsi"/>
                <w:sz w:val="18"/>
                <w:szCs w:val="18"/>
              </w:rPr>
              <w:t>Roboty rozbiórkowe</w:t>
            </w:r>
          </w:p>
        </w:tc>
        <w:tc>
          <w:tcPr>
            <w:tcW w:w="1275" w:type="dxa"/>
            <w:tcBorders>
              <w:top w:val="double" w:sz="6" w:space="0" w:color="000000"/>
              <w:left w:val="single" w:sz="6" w:space="0" w:color="000000"/>
              <w:bottom w:val="single" w:sz="6" w:space="0" w:color="000000"/>
              <w:right w:val="single" w:sz="6" w:space="0" w:color="000000"/>
            </w:tcBorders>
          </w:tcPr>
          <w:p w14:paraId="3145E1DE" w14:textId="77777777" w:rsidR="005D24EA" w:rsidRPr="005D24EA" w:rsidRDefault="005D24EA" w:rsidP="00694D4D">
            <w:pPr>
              <w:spacing w:line="259" w:lineRule="auto"/>
              <w:ind w:right="38"/>
              <w:jc w:val="center"/>
              <w:rPr>
                <w:rFonts w:asciiTheme="minorHAnsi" w:hAnsiTheme="minorHAnsi" w:cstheme="minorHAnsi"/>
                <w:sz w:val="18"/>
                <w:szCs w:val="18"/>
              </w:rPr>
            </w:pPr>
            <w:r w:rsidRPr="005D24EA">
              <w:rPr>
                <w:rFonts w:asciiTheme="minorHAnsi" w:hAnsiTheme="minorHAnsi" w:cstheme="minorHAnsi"/>
                <w:sz w:val="18"/>
                <w:szCs w:val="18"/>
              </w:rPr>
              <w:t>1 raz</w:t>
            </w:r>
          </w:p>
        </w:tc>
        <w:tc>
          <w:tcPr>
            <w:tcW w:w="2269" w:type="dxa"/>
            <w:tcBorders>
              <w:top w:val="double" w:sz="6" w:space="0" w:color="000000"/>
              <w:left w:val="single" w:sz="6" w:space="0" w:color="000000"/>
              <w:bottom w:val="single" w:sz="6" w:space="0" w:color="000000"/>
              <w:right w:val="single" w:sz="6" w:space="0" w:color="000000"/>
            </w:tcBorders>
          </w:tcPr>
          <w:p w14:paraId="60F6CB87" w14:textId="77777777" w:rsidR="005D24EA" w:rsidRPr="005D24EA" w:rsidRDefault="005D24EA" w:rsidP="00694D4D">
            <w:pPr>
              <w:spacing w:line="259" w:lineRule="auto"/>
              <w:ind w:right="39"/>
              <w:jc w:val="center"/>
              <w:rPr>
                <w:rFonts w:asciiTheme="minorHAnsi" w:hAnsiTheme="minorHAnsi" w:cstheme="minorHAnsi"/>
                <w:sz w:val="18"/>
                <w:szCs w:val="18"/>
              </w:rPr>
            </w:pPr>
            <w:r w:rsidRPr="005D24EA">
              <w:rPr>
                <w:rFonts w:asciiTheme="minorHAnsi" w:hAnsiTheme="minorHAnsi" w:cstheme="minorHAnsi"/>
                <w:sz w:val="18"/>
                <w:szCs w:val="18"/>
              </w:rPr>
              <w:t>Wg pkt. 5</w:t>
            </w:r>
          </w:p>
        </w:tc>
      </w:tr>
      <w:tr w:rsidR="005D24EA" w:rsidRPr="005D24EA" w14:paraId="71F126A0" w14:textId="77777777" w:rsidTr="00694D4D">
        <w:trPr>
          <w:trHeight w:val="370"/>
          <w:jc w:val="center"/>
        </w:trPr>
        <w:tc>
          <w:tcPr>
            <w:tcW w:w="497" w:type="dxa"/>
            <w:tcBorders>
              <w:top w:val="single" w:sz="6" w:space="0" w:color="000000"/>
              <w:left w:val="single" w:sz="6" w:space="0" w:color="000000"/>
              <w:bottom w:val="single" w:sz="6" w:space="0" w:color="000000"/>
              <w:right w:val="single" w:sz="6" w:space="0" w:color="000000"/>
            </w:tcBorders>
          </w:tcPr>
          <w:p w14:paraId="2A5F104F"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2</w:t>
            </w:r>
          </w:p>
        </w:tc>
        <w:tc>
          <w:tcPr>
            <w:tcW w:w="3543" w:type="dxa"/>
            <w:tcBorders>
              <w:top w:val="single" w:sz="6" w:space="0" w:color="000000"/>
              <w:left w:val="single" w:sz="6" w:space="0" w:color="000000"/>
              <w:bottom w:val="single" w:sz="6" w:space="0" w:color="000000"/>
              <w:right w:val="single" w:sz="6" w:space="0" w:color="000000"/>
            </w:tcBorders>
          </w:tcPr>
          <w:p w14:paraId="1C0171DB" w14:textId="77777777" w:rsidR="005D24EA" w:rsidRPr="005D24EA" w:rsidRDefault="005D24EA" w:rsidP="00694D4D">
            <w:pPr>
              <w:spacing w:line="259" w:lineRule="auto"/>
              <w:jc w:val="center"/>
              <w:rPr>
                <w:rFonts w:asciiTheme="minorHAnsi" w:hAnsiTheme="minorHAnsi" w:cstheme="minorHAnsi"/>
                <w:sz w:val="18"/>
                <w:szCs w:val="18"/>
              </w:rPr>
            </w:pPr>
            <w:r w:rsidRPr="005D24EA">
              <w:rPr>
                <w:rFonts w:asciiTheme="minorHAnsi" w:hAnsiTheme="minorHAnsi" w:cstheme="minorHAnsi"/>
                <w:sz w:val="18"/>
                <w:szCs w:val="18"/>
              </w:rPr>
              <w:t>Podsypka (ew. ława) pod obrzeże</w:t>
            </w:r>
          </w:p>
        </w:tc>
        <w:tc>
          <w:tcPr>
            <w:tcW w:w="1275" w:type="dxa"/>
            <w:tcBorders>
              <w:top w:val="single" w:sz="6" w:space="0" w:color="000000"/>
              <w:left w:val="single" w:sz="6" w:space="0" w:color="000000"/>
              <w:bottom w:val="single" w:sz="6" w:space="0" w:color="000000"/>
              <w:right w:val="single" w:sz="6" w:space="0" w:color="000000"/>
            </w:tcBorders>
          </w:tcPr>
          <w:p w14:paraId="7E799926" w14:textId="77777777" w:rsidR="005D24EA" w:rsidRPr="005D24EA" w:rsidRDefault="005D24EA" w:rsidP="00694D4D">
            <w:pPr>
              <w:spacing w:line="259" w:lineRule="auto"/>
              <w:ind w:left="51"/>
              <w:jc w:val="center"/>
              <w:rPr>
                <w:rFonts w:asciiTheme="minorHAnsi" w:hAnsiTheme="minorHAnsi" w:cstheme="minorHAnsi"/>
                <w:sz w:val="18"/>
                <w:szCs w:val="18"/>
              </w:rPr>
            </w:pPr>
            <w:r w:rsidRPr="005D24EA">
              <w:rPr>
                <w:rFonts w:asciiTheme="minorHAnsi" w:hAnsiTheme="minorHAnsi" w:cstheme="minorHAnsi"/>
                <w:sz w:val="18"/>
                <w:szCs w:val="18"/>
              </w:rPr>
              <w:t>Ocena ciągła</w:t>
            </w:r>
          </w:p>
        </w:tc>
        <w:tc>
          <w:tcPr>
            <w:tcW w:w="2269" w:type="dxa"/>
            <w:tcBorders>
              <w:top w:val="single" w:sz="6" w:space="0" w:color="000000"/>
              <w:left w:val="single" w:sz="6" w:space="0" w:color="000000"/>
              <w:bottom w:val="single" w:sz="6" w:space="0" w:color="000000"/>
              <w:right w:val="single" w:sz="6" w:space="0" w:color="000000"/>
            </w:tcBorders>
          </w:tcPr>
          <w:p w14:paraId="19F548A8"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Jw.</w:t>
            </w:r>
          </w:p>
        </w:tc>
      </w:tr>
      <w:tr w:rsidR="005D24EA" w:rsidRPr="005D24EA" w14:paraId="56B15DBF" w14:textId="77777777" w:rsidTr="00694D4D">
        <w:trPr>
          <w:trHeight w:val="370"/>
          <w:jc w:val="center"/>
        </w:trPr>
        <w:tc>
          <w:tcPr>
            <w:tcW w:w="497" w:type="dxa"/>
            <w:tcBorders>
              <w:top w:val="single" w:sz="6" w:space="0" w:color="000000"/>
              <w:left w:val="single" w:sz="6" w:space="0" w:color="000000"/>
              <w:bottom w:val="single" w:sz="6" w:space="0" w:color="000000"/>
              <w:right w:val="single" w:sz="6" w:space="0" w:color="000000"/>
            </w:tcBorders>
          </w:tcPr>
          <w:p w14:paraId="4B63C0E9"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3</w:t>
            </w:r>
          </w:p>
        </w:tc>
        <w:tc>
          <w:tcPr>
            <w:tcW w:w="3543" w:type="dxa"/>
            <w:tcBorders>
              <w:top w:val="single" w:sz="6" w:space="0" w:color="000000"/>
              <w:left w:val="single" w:sz="6" w:space="0" w:color="000000"/>
              <w:bottom w:val="single" w:sz="6" w:space="0" w:color="000000"/>
              <w:right w:val="single" w:sz="6" w:space="0" w:color="000000"/>
            </w:tcBorders>
          </w:tcPr>
          <w:p w14:paraId="4CEC7CFE" w14:textId="77777777" w:rsidR="005D24EA" w:rsidRPr="005D24EA" w:rsidRDefault="005D24EA" w:rsidP="00694D4D">
            <w:pPr>
              <w:spacing w:line="259" w:lineRule="auto"/>
              <w:jc w:val="center"/>
              <w:rPr>
                <w:rFonts w:asciiTheme="minorHAnsi" w:hAnsiTheme="minorHAnsi" w:cstheme="minorHAnsi"/>
                <w:sz w:val="18"/>
                <w:szCs w:val="18"/>
              </w:rPr>
            </w:pPr>
            <w:r w:rsidRPr="005D24EA">
              <w:rPr>
                <w:rFonts w:asciiTheme="minorHAnsi" w:hAnsiTheme="minorHAnsi" w:cstheme="minorHAnsi"/>
                <w:sz w:val="18"/>
                <w:szCs w:val="18"/>
              </w:rPr>
              <w:t>Ustawienie obrzeża</w:t>
            </w:r>
          </w:p>
        </w:tc>
        <w:tc>
          <w:tcPr>
            <w:tcW w:w="1275" w:type="dxa"/>
            <w:tcBorders>
              <w:top w:val="single" w:sz="6" w:space="0" w:color="000000"/>
              <w:left w:val="single" w:sz="6" w:space="0" w:color="000000"/>
              <w:bottom w:val="single" w:sz="6" w:space="0" w:color="000000"/>
              <w:right w:val="single" w:sz="6" w:space="0" w:color="000000"/>
            </w:tcBorders>
          </w:tcPr>
          <w:p w14:paraId="2783E7A7" w14:textId="77777777" w:rsidR="005D24EA" w:rsidRPr="005D24EA" w:rsidRDefault="005D24EA" w:rsidP="00694D4D">
            <w:pPr>
              <w:spacing w:line="259" w:lineRule="auto"/>
              <w:ind w:right="39"/>
              <w:jc w:val="center"/>
              <w:rPr>
                <w:rFonts w:asciiTheme="minorHAnsi" w:hAnsiTheme="minorHAnsi" w:cstheme="minorHAnsi"/>
                <w:sz w:val="18"/>
                <w:szCs w:val="18"/>
              </w:rPr>
            </w:pPr>
            <w:r w:rsidRPr="005D24EA">
              <w:rPr>
                <w:rFonts w:asciiTheme="minorHAnsi" w:hAnsiTheme="minorHAnsi" w:cstheme="minorHAnsi"/>
                <w:sz w:val="18"/>
                <w:szCs w:val="18"/>
              </w:rPr>
              <w:t>Jw.</w:t>
            </w:r>
          </w:p>
        </w:tc>
        <w:tc>
          <w:tcPr>
            <w:tcW w:w="2269" w:type="dxa"/>
            <w:tcBorders>
              <w:top w:val="single" w:sz="6" w:space="0" w:color="000000"/>
              <w:left w:val="single" w:sz="6" w:space="0" w:color="000000"/>
              <w:bottom w:val="single" w:sz="6" w:space="0" w:color="000000"/>
              <w:right w:val="single" w:sz="6" w:space="0" w:color="000000"/>
            </w:tcBorders>
          </w:tcPr>
          <w:p w14:paraId="0A5AC12C"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Jw.</w:t>
            </w:r>
          </w:p>
        </w:tc>
      </w:tr>
      <w:tr w:rsidR="005D24EA" w:rsidRPr="005D24EA" w14:paraId="49F1C68F" w14:textId="77777777" w:rsidTr="00694D4D">
        <w:trPr>
          <w:trHeight w:val="370"/>
          <w:jc w:val="center"/>
        </w:trPr>
        <w:tc>
          <w:tcPr>
            <w:tcW w:w="497" w:type="dxa"/>
            <w:tcBorders>
              <w:top w:val="single" w:sz="6" w:space="0" w:color="000000"/>
              <w:left w:val="single" w:sz="6" w:space="0" w:color="000000"/>
              <w:bottom w:val="single" w:sz="6" w:space="0" w:color="000000"/>
              <w:right w:val="single" w:sz="6" w:space="0" w:color="000000"/>
            </w:tcBorders>
          </w:tcPr>
          <w:p w14:paraId="6D663B08"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4</w:t>
            </w:r>
          </w:p>
        </w:tc>
        <w:tc>
          <w:tcPr>
            <w:tcW w:w="3543" w:type="dxa"/>
            <w:tcBorders>
              <w:top w:val="single" w:sz="6" w:space="0" w:color="000000"/>
              <w:left w:val="single" w:sz="6" w:space="0" w:color="000000"/>
              <w:bottom w:val="single" w:sz="6" w:space="0" w:color="000000"/>
              <w:right w:val="single" w:sz="6" w:space="0" w:color="000000"/>
            </w:tcBorders>
          </w:tcPr>
          <w:p w14:paraId="05F38929" w14:textId="77777777" w:rsidR="005D24EA" w:rsidRPr="005D24EA" w:rsidRDefault="005D24EA" w:rsidP="00694D4D">
            <w:pPr>
              <w:spacing w:line="259" w:lineRule="auto"/>
              <w:jc w:val="center"/>
              <w:rPr>
                <w:rFonts w:asciiTheme="minorHAnsi" w:hAnsiTheme="minorHAnsi" w:cstheme="minorHAnsi"/>
                <w:sz w:val="18"/>
                <w:szCs w:val="18"/>
              </w:rPr>
            </w:pPr>
            <w:r w:rsidRPr="005D24EA">
              <w:rPr>
                <w:rFonts w:asciiTheme="minorHAnsi" w:hAnsiTheme="minorHAnsi" w:cstheme="minorHAnsi"/>
                <w:sz w:val="18"/>
                <w:szCs w:val="18"/>
              </w:rPr>
              <w:t>Wypełnienie spoin</w:t>
            </w:r>
          </w:p>
        </w:tc>
        <w:tc>
          <w:tcPr>
            <w:tcW w:w="1275" w:type="dxa"/>
            <w:tcBorders>
              <w:top w:val="single" w:sz="6" w:space="0" w:color="000000"/>
              <w:left w:val="single" w:sz="6" w:space="0" w:color="000000"/>
              <w:bottom w:val="single" w:sz="6" w:space="0" w:color="000000"/>
              <w:right w:val="single" w:sz="6" w:space="0" w:color="000000"/>
            </w:tcBorders>
          </w:tcPr>
          <w:p w14:paraId="6AE1A90F" w14:textId="77777777" w:rsidR="005D24EA" w:rsidRPr="005D24EA" w:rsidRDefault="005D24EA" w:rsidP="00694D4D">
            <w:pPr>
              <w:spacing w:line="259" w:lineRule="auto"/>
              <w:ind w:right="39"/>
              <w:jc w:val="center"/>
              <w:rPr>
                <w:rFonts w:asciiTheme="minorHAnsi" w:hAnsiTheme="minorHAnsi" w:cstheme="minorHAnsi"/>
                <w:sz w:val="18"/>
                <w:szCs w:val="18"/>
              </w:rPr>
            </w:pPr>
            <w:r w:rsidRPr="005D24EA">
              <w:rPr>
                <w:rFonts w:asciiTheme="minorHAnsi" w:hAnsiTheme="minorHAnsi" w:cstheme="minorHAnsi"/>
                <w:sz w:val="18"/>
                <w:szCs w:val="18"/>
              </w:rPr>
              <w:t>Jw.</w:t>
            </w:r>
          </w:p>
        </w:tc>
        <w:tc>
          <w:tcPr>
            <w:tcW w:w="2269" w:type="dxa"/>
            <w:tcBorders>
              <w:top w:val="single" w:sz="6" w:space="0" w:color="000000"/>
              <w:left w:val="single" w:sz="6" w:space="0" w:color="000000"/>
              <w:bottom w:val="single" w:sz="6" w:space="0" w:color="000000"/>
              <w:right w:val="single" w:sz="6" w:space="0" w:color="000000"/>
            </w:tcBorders>
          </w:tcPr>
          <w:p w14:paraId="6E1F8302"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Jw.</w:t>
            </w:r>
          </w:p>
        </w:tc>
      </w:tr>
      <w:tr w:rsidR="005D24EA" w:rsidRPr="005D24EA" w14:paraId="797D2462" w14:textId="77777777" w:rsidTr="00694D4D">
        <w:trPr>
          <w:trHeight w:val="370"/>
          <w:jc w:val="center"/>
        </w:trPr>
        <w:tc>
          <w:tcPr>
            <w:tcW w:w="497" w:type="dxa"/>
            <w:tcBorders>
              <w:top w:val="single" w:sz="6" w:space="0" w:color="000000"/>
              <w:left w:val="single" w:sz="6" w:space="0" w:color="000000"/>
              <w:bottom w:val="single" w:sz="6" w:space="0" w:color="000000"/>
              <w:right w:val="single" w:sz="6" w:space="0" w:color="000000"/>
            </w:tcBorders>
          </w:tcPr>
          <w:p w14:paraId="5B5B25E7"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5</w:t>
            </w:r>
          </w:p>
        </w:tc>
        <w:tc>
          <w:tcPr>
            <w:tcW w:w="3543" w:type="dxa"/>
            <w:tcBorders>
              <w:top w:val="single" w:sz="6" w:space="0" w:color="000000"/>
              <w:left w:val="single" w:sz="6" w:space="0" w:color="000000"/>
              <w:bottom w:val="single" w:sz="6" w:space="0" w:color="000000"/>
              <w:right w:val="single" w:sz="6" w:space="0" w:color="000000"/>
            </w:tcBorders>
          </w:tcPr>
          <w:p w14:paraId="52C9F379" w14:textId="77777777" w:rsidR="005D24EA" w:rsidRPr="005D24EA" w:rsidRDefault="005D24EA" w:rsidP="00694D4D">
            <w:pPr>
              <w:spacing w:line="259" w:lineRule="auto"/>
              <w:jc w:val="center"/>
              <w:rPr>
                <w:rFonts w:asciiTheme="minorHAnsi" w:hAnsiTheme="minorHAnsi" w:cstheme="minorHAnsi"/>
                <w:sz w:val="18"/>
                <w:szCs w:val="18"/>
              </w:rPr>
            </w:pPr>
            <w:r w:rsidRPr="005D24EA">
              <w:rPr>
                <w:rFonts w:asciiTheme="minorHAnsi" w:hAnsiTheme="minorHAnsi" w:cstheme="minorHAnsi"/>
                <w:sz w:val="18"/>
                <w:szCs w:val="18"/>
              </w:rPr>
              <w:t>Roboty wykończeniowe</w:t>
            </w:r>
          </w:p>
        </w:tc>
        <w:tc>
          <w:tcPr>
            <w:tcW w:w="1275" w:type="dxa"/>
            <w:tcBorders>
              <w:top w:val="single" w:sz="6" w:space="0" w:color="000000"/>
              <w:left w:val="single" w:sz="6" w:space="0" w:color="000000"/>
              <w:bottom w:val="single" w:sz="6" w:space="0" w:color="000000"/>
              <w:right w:val="single" w:sz="6" w:space="0" w:color="000000"/>
            </w:tcBorders>
          </w:tcPr>
          <w:p w14:paraId="288E39A8" w14:textId="77777777" w:rsidR="005D24EA" w:rsidRPr="005D24EA" w:rsidRDefault="005D24EA" w:rsidP="00694D4D">
            <w:pPr>
              <w:spacing w:line="259" w:lineRule="auto"/>
              <w:ind w:right="39"/>
              <w:jc w:val="center"/>
              <w:rPr>
                <w:rFonts w:asciiTheme="minorHAnsi" w:hAnsiTheme="minorHAnsi" w:cstheme="minorHAnsi"/>
                <w:sz w:val="18"/>
                <w:szCs w:val="18"/>
              </w:rPr>
            </w:pPr>
            <w:r w:rsidRPr="005D24EA">
              <w:rPr>
                <w:rFonts w:asciiTheme="minorHAnsi" w:hAnsiTheme="minorHAnsi" w:cstheme="minorHAnsi"/>
                <w:sz w:val="18"/>
                <w:szCs w:val="18"/>
              </w:rPr>
              <w:t>Jw.</w:t>
            </w:r>
          </w:p>
        </w:tc>
        <w:tc>
          <w:tcPr>
            <w:tcW w:w="2269" w:type="dxa"/>
            <w:tcBorders>
              <w:top w:val="single" w:sz="6" w:space="0" w:color="000000"/>
              <w:left w:val="single" w:sz="6" w:space="0" w:color="000000"/>
              <w:bottom w:val="single" w:sz="6" w:space="0" w:color="000000"/>
              <w:right w:val="single" w:sz="6" w:space="0" w:color="000000"/>
            </w:tcBorders>
          </w:tcPr>
          <w:p w14:paraId="7346AD8E" w14:textId="77777777" w:rsidR="005D24EA" w:rsidRPr="005D24EA" w:rsidRDefault="005D24EA" w:rsidP="00694D4D">
            <w:pPr>
              <w:spacing w:line="259" w:lineRule="auto"/>
              <w:ind w:right="40"/>
              <w:jc w:val="center"/>
              <w:rPr>
                <w:rFonts w:asciiTheme="minorHAnsi" w:hAnsiTheme="minorHAnsi" w:cstheme="minorHAnsi"/>
                <w:sz w:val="18"/>
                <w:szCs w:val="18"/>
              </w:rPr>
            </w:pPr>
            <w:r w:rsidRPr="005D24EA">
              <w:rPr>
                <w:rFonts w:asciiTheme="minorHAnsi" w:hAnsiTheme="minorHAnsi" w:cstheme="minorHAnsi"/>
                <w:sz w:val="18"/>
                <w:szCs w:val="18"/>
              </w:rPr>
              <w:t>Jw.</w:t>
            </w:r>
          </w:p>
        </w:tc>
      </w:tr>
    </w:tbl>
    <w:p w14:paraId="50E9B0EC" w14:textId="77777777" w:rsidR="005D24EA" w:rsidRPr="005D24EA" w:rsidRDefault="005D24EA" w:rsidP="005D24EA">
      <w:pPr>
        <w:spacing w:before="120" w:after="120" w:line="276" w:lineRule="auto"/>
        <w:rPr>
          <w:rFonts w:asciiTheme="minorHAnsi" w:hAnsiTheme="minorHAnsi" w:cstheme="minorHAnsi"/>
          <w:b/>
        </w:rPr>
      </w:pPr>
      <w:bookmarkStart w:id="28" w:name="_Hlk56286197"/>
      <w:bookmarkStart w:id="29" w:name="_Hlk56363805"/>
      <w:bookmarkEnd w:id="24"/>
      <w:bookmarkEnd w:id="25"/>
      <w:bookmarkEnd w:id="27"/>
    </w:p>
    <w:p w14:paraId="3035282D" w14:textId="77777777" w:rsidR="005D24EA" w:rsidRPr="005D24EA" w:rsidRDefault="005D24EA" w:rsidP="005D24EA">
      <w:pPr>
        <w:pStyle w:val="Nagwek1"/>
      </w:pPr>
      <w:r w:rsidRPr="005D24EA">
        <w:t>7. OBMIAR ROBÓT</w:t>
      </w:r>
    </w:p>
    <w:p w14:paraId="0253030B" w14:textId="77777777" w:rsidR="005D24EA" w:rsidRPr="005D24EA" w:rsidRDefault="005D24EA" w:rsidP="005D24EA">
      <w:pPr>
        <w:spacing w:before="120" w:after="120" w:line="276" w:lineRule="auto"/>
        <w:rPr>
          <w:rFonts w:asciiTheme="minorHAnsi" w:hAnsiTheme="minorHAnsi" w:cstheme="minorHAnsi"/>
        </w:rPr>
      </w:pPr>
      <w:bookmarkStart w:id="30" w:name="_Hlk56247581"/>
      <w:bookmarkStart w:id="31" w:name="_Hlk56257310"/>
      <w:r w:rsidRPr="005D24EA">
        <w:rPr>
          <w:rFonts w:asciiTheme="minorHAnsi" w:hAnsiTheme="minorHAnsi" w:cstheme="minorHAnsi"/>
        </w:rPr>
        <w:t>Obmiary robót będą dokonywane zgodnie z ustaleniami zawartymi w SST D-M-00.00.00 Wymagania ogólne</w:t>
      </w:r>
      <w:bookmarkEnd w:id="30"/>
      <w:r w:rsidRPr="005D24EA">
        <w:rPr>
          <w:rFonts w:asciiTheme="minorHAnsi" w:hAnsiTheme="minorHAnsi" w:cstheme="minorHAnsi"/>
        </w:rPr>
        <w:t>.</w:t>
      </w:r>
    </w:p>
    <w:p w14:paraId="45A8756B"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Jednostką obmiarową jest </w:t>
      </w:r>
      <w:proofErr w:type="spellStart"/>
      <w:r w:rsidRPr="005D24EA">
        <w:rPr>
          <w:rFonts w:asciiTheme="minorHAnsi" w:hAnsiTheme="minorHAnsi" w:cstheme="minorHAnsi"/>
          <w:b/>
          <w:bCs/>
        </w:rPr>
        <w:t>mb</w:t>
      </w:r>
      <w:proofErr w:type="spellEnd"/>
      <w:r w:rsidRPr="005D24EA">
        <w:rPr>
          <w:rFonts w:asciiTheme="minorHAnsi" w:hAnsiTheme="minorHAnsi" w:cstheme="minorHAnsi"/>
        </w:rPr>
        <w:t xml:space="preserve"> (metr bieżący) wykonanego obrzeża betonowego.</w:t>
      </w:r>
    </w:p>
    <w:p w14:paraId="6AAD5B18" w14:textId="77777777" w:rsidR="005D24EA" w:rsidRPr="005D24EA" w:rsidRDefault="005D24EA" w:rsidP="005D24EA">
      <w:pPr>
        <w:pStyle w:val="Nagwek1"/>
      </w:pPr>
      <w:bookmarkStart w:id="32" w:name="_Hlk56286217"/>
      <w:bookmarkStart w:id="33" w:name="_Hlk56288583"/>
      <w:bookmarkEnd w:id="28"/>
      <w:bookmarkEnd w:id="31"/>
      <w:r w:rsidRPr="005D24EA">
        <w:t>8. ODBIÓR ROBÓT</w:t>
      </w:r>
    </w:p>
    <w:p w14:paraId="178C94AB" w14:textId="77777777" w:rsidR="005D24EA" w:rsidRPr="005D24EA" w:rsidRDefault="005D24EA" w:rsidP="005D24EA">
      <w:pPr>
        <w:spacing w:before="120" w:after="120" w:line="276" w:lineRule="auto"/>
        <w:rPr>
          <w:rFonts w:asciiTheme="minorHAnsi" w:hAnsiTheme="minorHAnsi" w:cstheme="minorHAnsi"/>
        </w:rPr>
      </w:pPr>
      <w:bookmarkStart w:id="34" w:name="_Hlk56247649"/>
      <w:r w:rsidRPr="005D24EA">
        <w:rPr>
          <w:rFonts w:asciiTheme="minorHAnsi" w:hAnsiTheme="minorHAnsi" w:cstheme="minorHAnsi"/>
        </w:rPr>
        <w:t>Odbiory robót  będą dokonywane zgodnie z ustaleniami zawartymi w SST D-M-00.00.00 Wymagania ogólne</w:t>
      </w:r>
      <w:bookmarkEnd w:id="34"/>
      <w:r w:rsidRPr="005D24EA">
        <w:rPr>
          <w:rFonts w:asciiTheme="minorHAnsi" w:hAnsiTheme="minorHAnsi" w:cstheme="minorHAnsi"/>
        </w:rPr>
        <w:t>.</w:t>
      </w:r>
    </w:p>
    <w:p w14:paraId="07301BA6" w14:textId="77777777" w:rsidR="005D24EA" w:rsidRPr="005D24EA" w:rsidRDefault="005D24EA" w:rsidP="005D24EA">
      <w:pPr>
        <w:pStyle w:val="Nagwek1"/>
      </w:pPr>
      <w:bookmarkStart w:id="35" w:name="_Hlk56286232"/>
      <w:bookmarkEnd w:id="32"/>
      <w:r w:rsidRPr="005D24EA">
        <w:lastRenderedPageBreak/>
        <w:t>9. PODSTAWA PŁATNOŚCI</w:t>
      </w:r>
    </w:p>
    <w:p w14:paraId="5BA15345" w14:textId="77777777" w:rsidR="005D24EA" w:rsidRPr="005D24EA" w:rsidRDefault="005D24EA" w:rsidP="005D24EA">
      <w:pPr>
        <w:keepNext/>
        <w:widowControl w:val="0"/>
        <w:numPr>
          <w:ilvl w:val="12"/>
          <w:numId w:val="0"/>
        </w:numPr>
        <w:spacing w:before="120" w:after="120" w:line="276" w:lineRule="auto"/>
        <w:outlineLvl w:val="0"/>
        <w:rPr>
          <w:rFonts w:asciiTheme="minorHAnsi" w:hAnsiTheme="minorHAnsi" w:cstheme="minorHAnsi"/>
          <w:lang w:val="x-none" w:eastAsia="x-none"/>
        </w:rPr>
      </w:pPr>
      <w:bookmarkStart w:id="36" w:name="_Hlk56286247"/>
      <w:bookmarkEnd w:id="29"/>
      <w:bookmarkEnd w:id="33"/>
      <w:bookmarkEnd w:id="35"/>
      <w:r w:rsidRPr="005D24EA">
        <w:rPr>
          <w:rFonts w:asciiTheme="minorHAnsi" w:hAnsiTheme="minorHAnsi" w:cstheme="minorHAnsi"/>
          <w:lang w:val="x-none" w:eastAsia="x-none"/>
        </w:rPr>
        <w:t>Płatności będą dokonywane zgodnie z ustaleniami zawartymi w SST D-M-00.00.00 Wymagania ogólne.</w:t>
      </w:r>
    </w:p>
    <w:p w14:paraId="57045F19" w14:textId="6E0B065D"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Cena </w:t>
      </w:r>
      <w:r w:rsidRPr="005D24EA">
        <w:rPr>
          <w:rFonts w:asciiTheme="minorHAnsi" w:hAnsiTheme="minorHAnsi" w:cstheme="minorHAnsi"/>
          <w:bCs/>
        </w:rPr>
        <w:t xml:space="preserve">wykonania </w:t>
      </w:r>
      <w:r w:rsidRPr="005D24EA">
        <w:rPr>
          <w:rFonts w:asciiTheme="minorHAnsi" w:hAnsiTheme="minorHAnsi" w:cstheme="minorHAnsi"/>
          <w:b/>
          <w:bCs/>
        </w:rPr>
        <w:t xml:space="preserve">1 </w:t>
      </w:r>
      <w:proofErr w:type="spellStart"/>
      <w:r w:rsidRPr="005D24EA">
        <w:rPr>
          <w:rFonts w:asciiTheme="minorHAnsi" w:hAnsiTheme="minorHAnsi" w:cstheme="minorHAnsi"/>
          <w:b/>
          <w:bCs/>
        </w:rPr>
        <w:t>mb</w:t>
      </w:r>
      <w:proofErr w:type="spellEnd"/>
      <w:r w:rsidRPr="005D24EA">
        <w:rPr>
          <w:rFonts w:asciiTheme="minorHAnsi" w:hAnsiTheme="minorHAnsi" w:cstheme="minorHAnsi"/>
          <w:bCs/>
        </w:rPr>
        <w:t xml:space="preserve"> </w:t>
      </w:r>
      <w:r w:rsidRPr="005D24EA">
        <w:rPr>
          <w:rFonts w:asciiTheme="minorHAnsi" w:hAnsiTheme="minorHAnsi" w:cstheme="minorHAnsi"/>
        </w:rPr>
        <w:t>obrzeża betonowego obejmuje wszelkie czynności związane z prawidłowym wykonaniem prac określonych niniejszą SST, co do zasady będą to:</w:t>
      </w:r>
    </w:p>
    <w:p w14:paraId="5DC12489"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wykonanie prac pomiarowych i prac przygotowawczych,</w:t>
      </w:r>
    </w:p>
    <w:p w14:paraId="55A38F88"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oznakowanie prac,</w:t>
      </w:r>
    </w:p>
    <w:p w14:paraId="7EC64698"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koszt pracy sprzętu oraz koszty dowozu i odwozu sprzętu na/z terenu prac,</w:t>
      </w:r>
    </w:p>
    <w:p w14:paraId="178F2E88"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koszt użytych materiałów wraz z kosztami ich zakupu, transportu i magazynowania,</w:t>
      </w:r>
    </w:p>
    <w:p w14:paraId="6AF8CDE0"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przygotowanie podłoża,</w:t>
      </w:r>
    </w:p>
    <w:p w14:paraId="65FF0C99" w14:textId="38000C88"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04933E19"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wykonanie prac zgodnie z technologią prac opisaną w pkt. 5 niniejszej Specyfikacji oraz zgodnie z przepisami, normami i sztuką budowlaną,</w:t>
      </w:r>
    </w:p>
    <w:p w14:paraId="1FC209DE"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wykonanie wymaganych zapisami niniejszej Specyfikacji pomiarów i/lub badań laboratoryjnych,</w:t>
      </w:r>
    </w:p>
    <w:p w14:paraId="720159BE"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uporządkowanie terenu prac,</w:t>
      </w:r>
    </w:p>
    <w:p w14:paraId="38DCD4E5" w14:textId="77777777" w:rsidR="005D24EA" w:rsidRPr="005D24EA" w:rsidRDefault="005D24EA" w:rsidP="005D24EA">
      <w:pPr>
        <w:numPr>
          <w:ilvl w:val="0"/>
          <w:numId w:val="68"/>
        </w:numPr>
        <w:spacing w:line="276" w:lineRule="auto"/>
        <w:ind w:left="284" w:hanging="284"/>
        <w:rPr>
          <w:rFonts w:asciiTheme="minorHAnsi" w:hAnsiTheme="minorHAnsi" w:cstheme="minorHAnsi"/>
        </w:rPr>
      </w:pPr>
      <w:r w:rsidRPr="005D24EA">
        <w:rPr>
          <w:rFonts w:asciiTheme="minorHAnsi" w:hAnsiTheme="minorHAnsi" w:cstheme="minorHAnsi"/>
        </w:rPr>
        <w:t>oraz wszystkie koszty związane z kosztami pośrednimi, zyskiem kalkulacyjnym i podatkami obligatoryjnymi</w:t>
      </w:r>
    </w:p>
    <w:p w14:paraId="0AE02D3C" w14:textId="77777777" w:rsidR="005D24EA" w:rsidRPr="005D24EA" w:rsidRDefault="005D24EA" w:rsidP="005D24EA">
      <w:pPr>
        <w:pStyle w:val="Nagwek1"/>
      </w:pPr>
      <w:r w:rsidRPr="005D24EA">
        <w:t>10. PRZEPISY ZWIĄZANE</w:t>
      </w:r>
    </w:p>
    <w:p w14:paraId="55341AAE" w14:textId="77777777" w:rsidR="005D24EA" w:rsidRPr="005D24EA" w:rsidRDefault="005D24EA" w:rsidP="005D24EA">
      <w:pPr>
        <w:pStyle w:val="Nagwek2"/>
      </w:pPr>
      <w:bookmarkStart w:id="37" w:name="_Hlk56247771"/>
      <w:r w:rsidRPr="005D24EA">
        <w:t>10.1. Specyfikacje techniczne (SST)</w:t>
      </w:r>
    </w:p>
    <w:p w14:paraId="4AF074C7" w14:textId="74ED82DD"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SST D-M-00.00.00 </w:t>
      </w:r>
      <w:r>
        <w:rPr>
          <w:rFonts w:asciiTheme="minorHAnsi" w:hAnsiTheme="minorHAnsi" w:cstheme="minorHAnsi"/>
        </w:rPr>
        <w:tab/>
      </w:r>
      <w:r w:rsidRPr="005D24EA">
        <w:rPr>
          <w:rFonts w:asciiTheme="minorHAnsi" w:hAnsiTheme="minorHAnsi" w:cstheme="minorHAnsi"/>
        </w:rPr>
        <w:t>Wymagania ogólne</w:t>
      </w:r>
    </w:p>
    <w:p w14:paraId="05BCE1E5" w14:textId="56C240BC"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OST - D-08.03.01 </w:t>
      </w:r>
      <w:r w:rsidRPr="005D24EA">
        <w:rPr>
          <w:rFonts w:asciiTheme="minorHAnsi" w:hAnsiTheme="minorHAnsi" w:cstheme="minorHAnsi"/>
        </w:rPr>
        <w:tab/>
      </w:r>
      <w:r>
        <w:rPr>
          <w:rFonts w:asciiTheme="minorHAnsi" w:hAnsiTheme="minorHAnsi" w:cstheme="minorHAnsi"/>
        </w:rPr>
        <w:tab/>
      </w:r>
      <w:r w:rsidRPr="005D24EA">
        <w:rPr>
          <w:rFonts w:asciiTheme="minorHAnsi" w:hAnsiTheme="minorHAnsi" w:cstheme="minorHAnsi"/>
        </w:rPr>
        <w:t xml:space="preserve">Betonowe obrzeża chodnikowe </w:t>
      </w:r>
    </w:p>
    <w:p w14:paraId="3A32BB60" w14:textId="77777777" w:rsidR="005D24EA" w:rsidRPr="005D24EA" w:rsidRDefault="005D24EA" w:rsidP="005D24EA">
      <w:pPr>
        <w:spacing w:before="120" w:after="120" w:line="276" w:lineRule="auto"/>
        <w:rPr>
          <w:rFonts w:asciiTheme="minorHAnsi" w:hAnsiTheme="minorHAnsi" w:cstheme="minorHAnsi"/>
        </w:rPr>
      </w:pPr>
      <w:r w:rsidRPr="005D24EA">
        <w:rPr>
          <w:rFonts w:asciiTheme="minorHAnsi" w:hAnsiTheme="minorHAnsi" w:cstheme="minorHAnsi"/>
        </w:rPr>
        <w:t xml:space="preserve">OST - D-08.02.01a </w:t>
      </w:r>
      <w:r w:rsidRPr="005D24EA">
        <w:rPr>
          <w:rFonts w:asciiTheme="minorHAnsi" w:hAnsiTheme="minorHAnsi" w:cstheme="minorHAnsi"/>
        </w:rPr>
        <w:tab/>
        <w:t xml:space="preserve">Remont cząstkowy chodnika z płyt betonowych </w:t>
      </w:r>
      <w:bookmarkEnd w:id="36"/>
      <w:bookmarkEnd w:id="37"/>
    </w:p>
    <w:p w14:paraId="140AB1C9" w14:textId="77777777" w:rsidR="00763B8C" w:rsidRPr="005D24EA" w:rsidRDefault="00763B8C" w:rsidP="005D24EA">
      <w:pPr>
        <w:rPr>
          <w:rFonts w:asciiTheme="minorHAnsi" w:hAnsiTheme="minorHAnsi" w:cstheme="minorHAnsi"/>
        </w:rPr>
      </w:pPr>
    </w:p>
    <w:sectPr w:rsidR="00763B8C" w:rsidRPr="005D24EA"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03940F81"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487FF4">
      <w:rPr>
        <w:rFonts w:asciiTheme="minorHAnsi" w:hAnsiTheme="minorHAnsi" w:cstheme="minorHAnsi"/>
        <w:sz w:val="20"/>
      </w:rPr>
      <w:t>08</w:t>
    </w:r>
    <w:r w:rsidRPr="00CD7CED">
      <w:rPr>
        <w:rFonts w:asciiTheme="minorHAnsi" w:hAnsiTheme="minorHAnsi" w:cstheme="minorHAnsi"/>
        <w:sz w:val="20"/>
      </w:rPr>
      <w:t>.</w:t>
    </w:r>
    <w:r w:rsidR="005D24EA">
      <w:rPr>
        <w:rFonts w:asciiTheme="minorHAnsi" w:hAnsiTheme="minorHAnsi" w:cstheme="minorHAnsi"/>
        <w:sz w:val="20"/>
      </w:rPr>
      <w:t>03</w:t>
    </w:r>
    <w:r w:rsidRPr="00CD7CED">
      <w:rPr>
        <w:rFonts w:asciiTheme="minorHAnsi" w:hAnsiTheme="minorHAnsi" w:cstheme="minorHAnsi"/>
        <w:sz w:val="20"/>
      </w:rPr>
      <w:t>.</w:t>
    </w:r>
    <w:r w:rsidR="005D24EA">
      <w:rPr>
        <w:rFonts w:asciiTheme="minorHAnsi" w:hAnsiTheme="minorHAnsi" w:cstheme="minorHAnsi"/>
        <w:sz w:val="20"/>
      </w:rPr>
      <w:t>01a</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8334B5"/>
    <w:multiLevelType w:val="hybridMultilevel"/>
    <w:tmpl w:val="86109E0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F62BC4"/>
    <w:multiLevelType w:val="hybridMultilevel"/>
    <w:tmpl w:val="877036A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19"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3BB72FA"/>
    <w:multiLevelType w:val="hybridMultilevel"/>
    <w:tmpl w:val="62D641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7BC0B8B"/>
    <w:multiLevelType w:val="hybridMultilevel"/>
    <w:tmpl w:val="FF12EFA6"/>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7EC41E3"/>
    <w:multiLevelType w:val="hybridMultilevel"/>
    <w:tmpl w:val="B90EE6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9"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0"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7394FB6"/>
    <w:multiLevelType w:val="hybridMultilevel"/>
    <w:tmpl w:val="7C66BBB8"/>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A5106A9"/>
    <w:multiLevelType w:val="hybridMultilevel"/>
    <w:tmpl w:val="6002B56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4"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0E093D"/>
    <w:multiLevelType w:val="hybridMultilevel"/>
    <w:tmpl w:val="5688F3EA"/>
    <w:lvl w:ilvl="0" w:tplc="4AA8831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49481F44"/>
    <w:multiLevelType w:val="hybridMultilevel"/>
    <w:tmpl w:val="617C2F9A"/>
    <w:lvl w:ilvl="0" w:tplc="4AA8831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49"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53"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5" w15:restartNumberingAfterBreak="0">
    <w:nsid w:val="63160008"/>
    <w:multiLevelType w:val="hybridMultilevel"/>
    <w:tmpl w:val="D6F2903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7"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58"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5481CEC"/>
    <w:multiLevelType w:val="hybridMultilevel"/>
    <w:tmpl w:val="7ED8A9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3"/>
  </w:num>
  <w:num w:numId="2" w16cid:durableId="1167163177">
    <w:abstractNumId w:val="49"/>
  </w:num>
  <w:num w:numId="3" w16cid:durableId="1348361478">
    <w:abstractNumId w:val="53"/>
  </w:num>
  <w:num w:numId="4" w16cid:durableId="24795102">
    <w:abstractNumId w:val="35"/>
  </w:num>
  <w:num w:numId="5" w16cid:durableId="669723670">
    <w:abstractNumId w:val="22"/>
  </w:num>
  <w:num w:numId="6" w16cid:durableId="2022924780">
    <w:abstractNumId w:val="4"/>
  </w:num>
  <w:num w:numId="7" w16cid:durableId="247348047">
    <w:abstractNumId w:val="2"/>
  </w:num>
  <w:num w:numId="8" w16cid:durableId="4524503">
    <w:abstractNumId w:val="30"/>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1"/>
  </w:num>
  <w:num w:numId="11" w16cid:durableId="1623345309">
    <w:abstractNumId w:val="36"/>
  </w:num>
  <w:num w:numId="12" w16cid:durableId="463937359">
    <w:abstractNumId w:val="62"/>
  </w:num>
  <w:num w:numId="13" w16cid:durableId="2025934367">
    <w:abstractNumId w:val="9"/>
  </w:num>
  <w:num w:numId="14" w16cid:durableId="1199077794">
    <w:abstractNumId w:val="7"/>
  </w:num>
  <w:num w:numId="15" w16cid:durableId="737019076">
    <w:abstractNumId w:val="59"/>
  </w:num>
  <w:num w:numId="16" w16cid:durableId="652490865">
    <w:abstractNumId w:val="51"/>
  </w:num>
  <w:num w:numId="17" w16cid:durableId="1126192646">
    <w:abstractNumId w:val="28"/>
  </w:num>
  <w:num w:numId="18" w16cid:durableId="1797866961">
    <w:abstractNumId w:val="52"/>
  </w:num>
  <w:num w:numId="19" w16cid:durableId="2045910087">
    <w:abstractNumId w:val="47"/>
  </w:num>
  <w:num w:numId="20" w16cid:durableId="218639202">
    <w:abstractNumId w:val="5"/>
  </w:num>
  <w:num w:numId="21" w16cid:durableId="2120443649">
    <w:abstractNumId w:val="58"/>
  </w:num>
  <w:num w:numId="22" w16cid:durableId="195436014">
    <w:abstractNumId w:val="63"/>
  </w:num>
  <w:num w:numId="23" w16cid:durableId="1648777031">
    <w:abstractNumId w:val="56"/>
  </w:num>
  <w:num w:numId="24" w16cid:durableId="97989332">
    <w:abstractNumId w:val="27"/>
  </w:num>
  <w:num w:numId="25" w16cid:durableId="694963102">
    <w:abstractNumId w:val="17"/>
  </w:num>
  <w:num w:numId="26" w16cid:durableId="221721396">
    <w:abstractNumId w:val="39"/>
  </w:num>
  <w:num w:numId="27" w16cid:durableId="1556235800">
    <w:abstractNumId w:val="5"/>
  </w:num>
  <w:num w:numId="28" w16cid:durableId="800533188">
    <w:abstractNumId w:val="33"/>
    <w:lvlOverride w:ilvl="0">
      <w:startOverride w:val="1"/>
    </w:lvlOverride>
  </w:num>
  <w:num w:numId="29" w16cid:durableId="1935891942">
    <w:abstractNumId w:val="1"/>
  </w:num>
  <w:num w:numId="30" w16cid:durableId="859709033">
    <w:abstractNumId w:val="48"/>
    <w:lvlOverride w:ilvl="0">
      <w:startOverride w:val="1"/>
    </w:lvlOverride>
  </w:num>
  <w:num w:numId="31" w16cid:durableId="992873069">
    <w:abstractNumId w:val="29"/>
    <w:lvlOverride w:ilvl="0">
      <w:startOverride w:val="1"/>
    </w:lvlOverride>
  </w:num>
  <w:num w:numId="32" w16cid:durableId="617953923">
    <w:abstractNumId w:val="18"/>
    <w:lvlOverride w:ilvl="0">
      <w:startOverride w:val="1"/>
    </w:lvlOverride>
  </w:num>
  <w:num w:numId="33" w16cid:durableId="724255212">
    <w:abstractNumId w:val="16"/>
  </w:num>
  <w:num w:numId="34" w16cid:durableId="902640174">
    <w:abstractNumId w:val="50"/>
  </w:num>
  <w:num w:numId="35" w16cid:durableId="752892859">
    <w:abstractNumId w:val="37"/>
  </w:num>
  <w:num w:numId="36" w16cid:durableId="1049958223">
    <w:abstractNumId w:val="8"/>
  </w:num>
  <w:num w:numId="37" w16cid:durableId="70589342">
    <w:abstractNumId w:val="15"/>
  </w:num>
  <w:num w:numId="38" w16cid:durableId="1187672290">
    <w:abstractNumId w:val="3"/>
  </w:num>
  <w:num w:numId="39" w16cid:durableId="959531455">
    <w:abstractNumId w:val="10"/>
  </w:num>
  <w:num w:numId="40" w16cid:durableId="2001541628">
    <w:abstractNumId w:val="41"/>
  </w:num>
  <w:num w:numId="41" w16cid:durableId="1516922262">
    <w:abstractNumId w:val="11"/>
  </w:num>
  <w:num w:numId="42" w16cid:durableId="1685933177">
    <w:abstractNumId w:val="19"/>
  </w:num>
  <w:num w:numId="43" w16cid:durableId="664666578">
    <w:abstractNumId w:val="38"/>
  </w:num>
  <w:num w:numId="44" w16cid:durableId="1920677283">
    <w:abstractNumId w:val="46"/>
  </w:num>
  <w:num w:numId="45" w16cid:durableId="599796377">
    <w:abstractNumId w:val="34"/>
  </w:num>
  <w:num w:numId="46" w16cid:durableId="173736104">
    <w:abstractNumId w:val="44"/>
  </w:num>
  <w:num w:numId="47" w16cid:durableId="1827166769">
    <w:abstractNumId w:val="42"/>
  </w:num>
  <w:num w:numId="48" w16cid:durableId="103814486">
    <w:abstractNumId w:val="23"/>
  </w:num>
  <w:num w:numId="49" w16cid:durableId="1679035916">
    <w:abstractNumId w:val="61"/>
  </w:num>
  <w:num w:numId="50" w16cid:durableId="864056902">
    <w:abstractNumId w:val="26"/>
  </w:num>
  <w:num w:numId="51" w16cid:durableId="485516279">
    <w:abstractNumId w:val="45"/>
  </w:num>
  <w:num w:numId="52" w16cid:durableId="462891236">
    <w:abstractNumId w:val="12"/>
  </w:num>
  <w:num w:numId="53" w16cid:durableId="347216919">
    <w:abstractNumId w:val="54"/>
  </w:num>
  <w:num w:numId="54" w16cid:durableId="399913447">
    <w:abstractNumId w:val="57"/>
  </w:num>
  <w:num w:numId="55" w16cid:durableId="1132792797">
    <w:abstractNumId w:val="20"/>
  </w:num>
  <w:num w:numId="56" w16cid:durableId="1012027760">
    <w:abstractNumId w:val="31"/>
  </w:num>
  <w:num w:numId="57" w16cid:durableId="2109541382">
    <w:abstractNumId w:val="24"/>
  </w:num>
  <w:num w:numId="58" w16cid:durableId="696545263">
    <w:abstractNumId w:val="33"/>
  </w:num>
  <w:num w:numId="59" w16cid:durableId="432240569">
    <w:abstractNumId w:val="48"/>
  </w:num>
  <w:num w:numId="60" w16cid:durableId="1627735515">
    <w:abstractNumId w:val="29"/>
  </w:num>
  <w:num w:numId="61" w16cid:durableId="1907376258">
    <w:abstractNumId w:val="18"/>
  </w:num>
  <w:num w:numId="62" w16cid:durableId="1633636909">
    <w:abstractNumId w:val="55"/>
  </w:num>
  <w:num w:numId="63" w16cid:durableId="1289355798">
    <w:abstractNumId w:val="32"/>
  </w:num>
  <w:num w:numId="64" w16cid:durableId="660045640">
    <w:abstractNumId w:val="6"/>
  </w:num>
  <w:num w:numId="65" w16cid:durableId="968248193">
    <w:abstractNumId w:val="60"/>
  </w:num>
  <w:num w:numId="66" w16cid:durableId="1543127372">
    <w:abstractNumId w:val="14"/>
  </w:num>
  <w:num w:numId="67" w16cid:durableId="912618893">
    <w:abstractNumId w:val="25"/>
  </w:num>
  <w:num w:numId="68" w16cid:durableId="1745300120">
    <w:abstractNumId w:val="5"/>
    <w:lvlOverride w:ilvl="0"/>
    <w:lvlOverride w:ilvl="1"/>
    <w:lvlOverride w:ilvl="2"/>
    <w:lvlOverride w:ilvl="3"/>
    <w:lvlOverride w:ilvl="4"/>
    <w:lvlOverride w:ilvl="5"/>
    <w:lvlOverride w:ilvl="6"/>
    <w:lvlOverride w:ilvl="7"/>
    <w:lvlOverride w:ilvl="8"/>
  </w:num>
  <w:num w:numId="69" w16cid:durableId="1293947681">
    <w:abstractNumId w:val="40"/>
  </w:num>
  <w:num w:numId="70" w16cid:durableId="274212281">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91E90"/>
    <w:rsid w:val="000A6802"/>
    <w:rsid w:val="001209B4"/>
    <w:rsid w:val="0012767A"/>
    <w:rsid w:val="0015164E"/>
    <w:rsid w:val="00156044"/>
    <w:rsid w:val="00197BC3"/>
    <w:rsid w:val="001A1EB4"/>
    <w:rsid w:val="001A3A70"/>
    <w:rsid w:val="001C71EE"/>
    <w:rsid w:val="00215182"/>
    <w:rsid w:val="0029008C"/>
    <w:rsid w:val="003322BF"/>
    <w:rsid w:val="003B6D4D"/>
    <w:rsid w:val="00487FF4"/>
    <w:rsid w:val="00511AA4"/>
    <w:rsid w:val="00520564"/>
    <w:rsid w:val="00544EE1"/>
    <w:rsid w:val="005622AB"/>
    <w:rsid w:val="005A7244"/>
    <w:rsid w:val="005D24EA"/>
    <w:rsid w:val="00605D58"/>
    <w:rsid w:val="00616952"/>
    <w:rsid w:val="006373C8"/>
    <w:rsid w:val="0064072A"/>
    <w:rsid w:val="006746EC"/>
    <w:rsid w:val="00685493"/>
    <w:rsid w:val="006E3D9A"/>
    <w:rsid w:val="0071524B"/>
    <w:rsid w:val="00751095"/>
    <w:rsid w:val="00763B8C"/>
    <w:rsid w:val="007B494A"/>
    <w:rsid w:val="007B6625"/>
    <w:rsid w:val="007E7220"/>
    <w:rsid w:val="007F1091"/>
    <w:rsid w:val="0082738F"/>
    <w:rsid w:val="00835A86"/>
    <w:rsid w:val="00846DC2"/>
    <w:rsid w:val="0091665A"/>
    <w:rsid w:val="00982880"/>
    <w:rsid w:val="00993AC6"/>
    <w:rsid w:val="009A6448"/>
    <w:rsid w:val="009B2C34"/>
    <w:rsid w:val="00A06518"/>
    <w:rsid w:val="00A272BC"/>
    <w:rsid w:val="00A322CD"/>
    <w:rsid w:val="00A7199A"/>
    <w:rsid w:val="00A739C6"/>
    <w:rsid w:val="00AD0716"/>
    <w:rsid w:val="00AD6FC7"/>
    <w:rsid w:val="00B54350"/>
    <w:rsid w:val="00B62A0F"/>
    <w:rsid w:val="00B70DBE"/>
    <w:rsid w:val="00C11DDE"/>
    <w:rsid w:val="00C620B6"/>
    <w:rsid w:val="00CD5BB0"/>
    <w:rsid w:val="00CD7CED"/>
    <w:rsid w:val="00CF765E"/>
    <w:rsid w:val="00D119AE"/>
    <w:rsid w:val="00D17056"/>
    <w:rsid w:val="00D23378"/>
    <w:rsid w:val="00D3016E"/>
    <w:rsid w:val="00D60CAD"/>
    <w:rsid w:val="00E16040"/>
    <w:rsid w:val="00E64C44"/>
    <w:rsid w:val="00E746CF"/>
    <w:rsid w:val="00ED11DE"/>
    <w:rsid w:val="00EE15B7"/>
    <w:rsid w:val="00EE3779"/>
    <w:rsid w:val="00F017D2"/>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List Paragraph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TotalTime>
  <Pages>7</Pages>
  <Words>1956</Words>
  <Characters>11737</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18</cp:revision>
  <dcterms:created xsi:type="dcterms:W3CDTF">2025-10-10T05:46:00Z</dcterms:created>
  <dcterms:modified xsi:type="dcterms:W3CDTF">2025-11-13T06:31:00Z</dcterms:modified>
</cp:coreProperties>
</file>